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33306A" w:rsidP="0033306A">
      <w:pPr>
        <w:tabs>
          <w:tab w:val="left" w:pos="-720"/>
        </w:tabs>
        <w:jc w:val="right"/>
        <w:rPr>
          <w:rFonts w:ascii="Times New Roman" w:hAnsi="Times New Roman"/>
          <w:b/>
        </w:rPr>
      </w:pPr>
      <w:r>
        <w:rPr>
          <w:rFonts w:ascii="Times New Roman" w:hAnsi="Times New Roman"/>
          <w:b/>
        </w:rPr>
        <w:t>15-038</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9F320A">
        <w:rPr>
          <w:rFonts w:ascii="Times New Roman" w:hAnsi="Times New Roman"/>
        </w:rPr>
        <w:t xml:space="preserve"> X  </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w:t>
      </w:r>
      <w:bookmarkStart w:id="0" w:name="_GoBack"/>
      <w:bookmarkEnd w:id="0"/>
      <w:r w:rsidR="00256274" w:rsidRPr="002F26F5">
        <w:rPr>
          <w:rFonts w:ascii="Times New Roman" w:hAnsi="Times New Roman"/>
        </w:rPr>
        <w:t>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9F320A">
        <w:rPr>
          <w:rFonts w:ascii="Times New Roman" w:hAnsi="Times New Roman"/>
          <w:b/>
        </w:rPr>
        <w:t>406.5</w:t>
      </w:r>
      <w:r w:rsidR="00514761">
        <w:rPr>
          <w:rFonts w:ascii="Times New Roman" w:hAnsi="Times New Roman"/>
          <w:b/>
        </w:rPr>
        <w:t xml:space="preserve">   </w:t>
      </w:r>
      <w:r>
        <w:rPr>
          <w:rFonts w:ascii="Times New Roman" w:hAnsi="Times New Roman"/>
          <w:b/>
        </w:rPr>
        <w:tab/>
      </w:r>
    </w:p>
    <w:p w:rsidR="00243532" w:rsidRPr="00243532" w:rsidRDefault="00243532" w:rsidP="00243532">
      <w:pPr>
        <w:tabs>
          <w:tab w:val="left" w:pos="-720"/>
        </w:tabs>
        <w:rPr>
          <w:rFonts w:ascii="Times New Roman" w:hAnsi="Times New Roman"/>
          <w:b/>
          <w:sz w:val="20"/>
        </w:rPr>
      </w:pPr>
      <w:r w:rsidRPr="007464D5">
        <w:rPr>
          <w:rFonts w:ascii="Times New Roman" w:hAnsi="Times New Roman"/>
          <w:b/>
          <w:szCs w:val="24"/>
        </w:rPr>
        <w:tab/>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9F320A">
        <w:rPr>
          <w:rFonts w:ascii="Times New Roman" w:hAnsi="Times New Roman"/>
          <w:b/>
        </w:rPr>
        <w:t>Open parking garages.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74296">
        <w:rPr>
          <w:rFonts w:ascii="Times New Roman" w:hAnsi="Times New Roman"/>
          <w:b/>
        </w:rPr>
        <w:t xml:space="preserve">Washington Association of Building Officials </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74296">
        <w:rPr>
          <w:rFonts w:ascii="Times New Roman" w:hAnsi="Times New Roman"/>
          <w:b/>
        </w:rPr>
        <w:tab/>
      </w:r>
      <w:r w:rsidR="008970B9">
        <w:rPr>
          <w:rFonts w:ascii="Times New Roman" w:hAnsi="Times New Roman"/>
          <w:b/>
        </w:rPr>
        <w:t>February 25,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74296">
        <w:rPr>
          <w:rFonts w:ascii="Times New Roman" w:hAnsi="Times New Roman"/>
          <w:b/>
        </w:rPr>
        <w:t>Maureen Traxler</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74296">
        <w:rPr>
          <w:rFonts w:ascii="Times New Roman" w:hAnsi="Times New Roman"/>
          <w:b/>
        </w:rPr>
        <w:t xml:space="preserve">  Code development manager</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74296">
        <w:rPr>
          <w:rFonts w:ascii="Times New Roman" w:hAnsi="Times New Roman"/>
          <w:b/>
        </w:rPr>
        <w:t>700 5</w:t>
      </w:r>
      <w:r w:rsidR="00674296" w:rsidRPr="00674296">
        <w:rPr>
          <w:rFonts w:ascii="Times New Roman" w:hAnsi="Times New Roman"/>
          <w:b/>
          <w:vertAlign w:val="superscript"/>
        </w:rPr>
        <w:t>th</w:t>
      </w:r>
      <w:r w:rsidR="00674296">
        <w:rPr>
          <w:rFonts w:ascii="Times New Roman" w:hAnsi="Times New Roman"/>
          <w:b/>
        </w:rPr>
        <w:t xml:space="preserve"> Ave, #2000</w:t>
      </w:r>
    </w:p>
    <w:p w:rsidR="00674296" w:rsidRDefault="00674296"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 xml:space="preserve">      PO Box 34019</w:t>
      </w:r>
    </w:p>
    <w:p w:rsidR="00B7203D" w:rsidRDefault="00674296" w:rsidP="00BB1D76">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t xml:space="preserve">      Seattle, WA 98124-4019</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74296">
        <w:rPr>
          <w:rFonts w:ascii="Times New Roman" w:hAnsi="Times New Roman"/>
          <w:b/>
        </w:rPr>
        <w:t>206-233-3892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74296">
        <w:rPr>
          <w:rFonts w:ascii="Times New Roman" w:hAnsi="Times New Roman"/>
          <w:b/>
        </w:rPr>
        <w:t>maureen.traxler@seattle.gov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9F320A">
        <w:rPr>
          <w:rFonts w:ascii="Times New Roman" w:hAnsi="Times New Roman"/>
        </w:rPr>
        <w:t>International Building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9F320A">
        <w:rPr>
          <w:rFonts w:ascii="Times New Roman" w:hAnsi="Times New Roman"/>
        </w:rPr>
        <w:t>406.5</w:t>
      </w:r>
    </w:p>
    <w:p w:rsidR="00BB1D76" w:rsidRDefault="00BB1D76" w:rsidP="00BB1D76">
      <w:pPr>
        <w:tabs>
          <w:tab w:val="left" w:pos="-720"/>
        </w:tabs>
        <w:rPr>
          <w:rFonts w:ascii="Times New Roman" w:hAnsi="Times New Roman"/>
        </w:rPr>
      </w:pPr>
    </w:p>
    <w:p w:rsidR="00BB1D76" w:rsidRDefault="004B0207" w:rsidP="00FB746A">
      <w:pPr>
        <w:tabs>
          <w:tab w:val="left" w:pos="-720"/>
        </w:tabs>
        <w:rPr>
          <w:rFonts w:ascii="Times New Roman" w:hAnsi="Times New Roman"/>
        </w:rPr>
      </w:pPr>
      <w:r>
        <w:rPr>
          <w:rFonts w:ascii="Times New Roman" w:hAnsi="Times New Roman"/>
        </w:rPr>
        <w:tab/>
      </w:r>
      <w:r w:rsidR="00BB1D76">
        <w:rPr>
          <w:rFonts w:ascii="Times New Roman" w:hAnsi="Times New Roman"/>
        </w:rPr>
        <w:tab/>
        <w:t>Amend section to read as follows:</w:t>
      </w:r>
    </w:p>
    <w:p w:rsidR="008970B9" w:rsidRDefault="008970B9" w:rsidP="00FB746A">
      <w:pPr>
        <w:tabs>
          <w:tab w:val="left" w:pos="-720"/>
        </w:tabs>
        <w:rPr>
          <w:rFonts w:ascii="Times New Roman" w:hAnsi="Times New Roman"/>
        </w:rPr>
      </w:pPr>
    </w:p>
    <w:p w:rsidR="009F320A" w:rsidRDefault="009F320A" w:rsidP="009F320A">
      <w:pPr>
        <w:autoSpaceDE w:val="0"/>
        <w:autoSpaceDN w:val="0"/>
        <w:adjustRightInd w:val="0"/>
        <w:spacing w:after="120"/>
        <w:ind w:left="360"/>
        <w:rPr>
          <w:rFonts w:ascii="TimesNewRoman" w:hAnsi="TimesNewRoman" w:cs="TimesNewRoman"/>
          <w:sz w:val="20"/>
        </w:rPr>
      </w:pPr>
      <w:r>
        <w:rPr>
          <w:rFonts w:ascii="TimesNewRoman,Bold" w:hAnsi="TimesNewRoman,Bold" w:cs="TimesNewRoman,Bold"/>
          <w:b/>
          <w:bCs/>
          <w:sz w:val="20"/>
        </w:rPr>
        <w:t xml:space="preserve">406.5.1 Construction. </w:t>
      </w:r>
      <w:r>
        <w:rPr>
          <w:rFonts w:ascii="TimesNewRoman,Italic" w:hAnsi="TimesNewRoman,Italic" w:cs="TimesNewRoman,Italic"/>
          <w:i/>
          <w:iCs/>
          <w:sz w:val="20"/>
        </w:rPr>
        <w:t xml:space="preserve">Open parking garages </w:t>
      </w:r>
      <w:r>
        <w:rPr>
          <w:rFonts w:ascii="TimesNewRoman" w:hAnsi="TimesNewRoman" w:cs="TimesNewRoman"/>
          <w:sz w:val="20"/>
        </w:rPr>
        <w:t xml:space="preserve">shall be of Type I, II or IV construction. </w:t>
      </w:r>
      <w:r>
        <w:rPr>
          <w:rFonts w:ascii="TimesNewRoman,Italic" w:hAnsi="TimesNewRoman,Italic" w:cs="TimesNewRoman,Italic"/>
          <w:i/>
          <w:iCs/>
          <w:sz w:val="20"/>
        </w:rPr>
        <w:t xml:space="preserve">Open parking garages </w:t>
      </w:r>
      <w:r>
        <w:rPr>
          <w:rFonts w:ascii="TimesNewRoman" w:hAnsi="TimesNewRoman" w:cs="TimesNewRoman"/>
          <w:sz w:val="20"/>
        </w:rPr>
        <w:t xml:space="preserve">shall meet the design requirements of Chapter 16. For </w:t>
      </w:r>
      <w:r>
        <w:rPr>
          <w:rFonts w:ascii="TimesNewRoman,Italic" w:hAnsi="TimesNewRoman,Italic" w:cs="TimesNewRoman,Italic"/>
          <w:i/>
          <w:iCs/>
          <w:sz w:val="20"/>
        </w:rPr>
        <w:t>vehicle barriers</w:t>
      </w:r>
      <w:r>
        <w:rPr>
          <w:rFonts w:ascii="TimesNewRoman" w:hAnsi="TimesNewRoman" w:cs="TimesNewRoman"/>
          <w:sz w:val="20"/>
        </w:rPr>
        <w:t>, see Section 406.4.3.</w:t>
      </w:r>
    </w:p>
    <w:p w:rsidR="009F320A" w:rsidRPr="009F320A" w:rsidRDefault="009F320A" w:rsidP="009F320A">
      <w:pPr>
        <w:autoSpaceDE w:val="0"/>
        <w:autoSpaceDN w:val="0"/>
        <w:adjustRightInd w:val="0"/>
        <w:ind w:left="720"/>
        <w:rPr>
          <w:rFonts w:ascii="Times New Roman" w:hAnsi="Times New Roman"/>
          <w:sz w:val="20"/>
          <w:u w:val="single"/>
        </w:rPr>
      </w:pPr>
      <w:r w:rsidRPr="009F320A">
        <w:rPr>
          <w:rFonts w:ascii="Times New Roman" w:eastAsiaTheme="minorHAnsi" w:hAnsi="Times New Roman"/>
          <w:b/>
          <w:bCs/>
          <w:sz w:val="20"/>
          <w:u w:val="single"/>
        </w:rPr>
        <w:t>Exception</w:t>
      </w:r>
      <w:r w:rsidRPr="009F320A">
        <w:rPr>
          <w:rFonts w:ascii="Times New Roman" w:eastAsiaTheme="minorHAnsi" w:hAnsi="Times New Roman"/>
          <w:sz w:val="20"/>
          <w:u w:val="single"/>
        </w:rPr>
        <w:t>: Open parking garages are permitted to be of Type III or V construction if they comply with the allowable heights and areas specified in Sections 504 and 506 as modified by Section 507.</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9F320A" w:rsidRPr="00B75D4C" w:rsidRDefault="009F320A" w:rsidP="009F320A">
      <w:pPr>
        <w:pStyle w:val="ListParagraph"/>
        <w:rPr>
          <w:rFonts w:ascii="Times New Roman" w:hAnsi="Times New Roman"/>
          <w:szCs w:val="24"/>
        </w:rPr>
      </w:pPr>
    </w:p>
    <w:p w:rsidR="00B75D4C" w:rsidRDefault="009F320A" w:rsidP="009F320A">
      <w:pPr>
        <w:autoSpaceDE w:val="0"/>
        <w:autoSpaceDN w:val="0"/>
        <w:adjustRightInd w:val="0"/>
        <w:ind w:left="720"/>
        <w:rPr>
          <w:rFonts w:ascii="NimbusSanL-Regu" w:eastAsiaTheme="minorHAnsi" w:hAnsi="NimbusSanL-Regu" w:cs="NimbusSanL-Regu"/>
          <w:sz w:val="25"/>
          <w:szCs w:val="25"/>
        </w:rPr>
      </w:pPr>
      <w:r w:rsidRPr="009F320A">
        <w:rPr>
          <w:rFonts w:ascii="NimbusSanL-Regu" w:eastAsiaTheme="minorHAnsi" w:hAnsi="NimbusSanL-Regu" w:cs="NimbusSanL-Regu"/>
          <w:sz w:val="25"/>
          <w:szCs w:val="25"/>
        </w:rPr>
        <w:t>As the code is currently written, all open parking garages are required to comply with</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Section 406.6, which prohibits Types III and V construction. There are two major differences in</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the way open and enclosed garages are treated--open parking garages are allowed increased</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height and area; and open parking garages are not required to provide mechanical ventilation.</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This proposal allows open parking garages that meet the height and area limitations of Chapter 5</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to be of Type III or V construction. These garages are allowed to substitute the openness</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required by Section 406.5.2 for the mechanical ventilation that would otherwise be required.</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Section 406.6.1 tells us that parking garages that don't meet the openness requirements for open</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parking garages are limited to chapter 5's height and area provisions. This proposal addresses</w:t>
      </w:r>
      <w:r>
        <w:rPr>
          <w:rFonts w:ascii="NimbusSanL-Regu" w:eastAsiaTheme="minorHAnsi" w:hAnsi="NimbusSanL-Regu" w:cs="NimbusSanL-Regu"/>
          <w:sz w:val="25"/>
          <w:szCs w:val="25"/>
        </w:rPr>
        <w:t xml:space="preserve"> </w:t>
      </w:r>
      <w:r w:rsidRPr="009F320A">
        <w:rPr>
          <w:rFonts w:ascii="NimbusSanL-Regu" w:eastAsiaTheme="minorHAnsi" w:hAnsi="NimbusSanL-Regu" w:cs="NimbusSanL-Regu"/>
          <w:sz w:val="25"/>
          <w:szCs w:val="25"/>
        </w:rPr>
        <w:t>garages that meet both the openness requirements and the Chapter 5 provisions.</w:t>
      </w:r>
    </w:p>
    <w:p w:rsidR="009F320A" w:rsidRDefault="00424967" w:rsidP="009F320A">
      <w:pPr>
        <w:autoSpaceDE w:val="0"/>
        <w:autoSpaceDN w:val="0"/>
        <w:adjustRightInd w:val="0"/>
        <w:ind w:left="720"/>
        <w:rPr>
          <w:rFonts w:ascii="NimbusSanL-Regu" w:eastAsiaTheme="minorHAnsi" w:hAnsi="NimbusSanL-Regu" w:cs="NimbusSanL-Regu"/>
          <w:sz w:val="25"/>
          <w:szCs w:val="25"/>
        </w:rPr>
      </w:pPr>
      <w:r>
        <w:rPr>
          <w:rFonts w:ascii="NimbusSanL-Regu" w:eastAsiaTheme="minorHAnsi" w:hAnsi="NimbusSanL-Regu" w:cs="NimbusSanL-Regu"/>
          <w:sz w:val="25"/>
          <w:szCs w:val="25"/>
        </w:rPr>
        <w:t xml:space="preserve"> </w:t>
      </w:r>
      <w:r>
        <w:rPr>
          <w:rFonts w:ascii="NimbusSanL-Regu" w:eastAsiaTheme="minorHAnsi" w:hAnsi="NimbusSanL-Regu" w:cs="NimbusSanL-Regu"/>
          <w:sz w:val="25"/>
          <w:szCs w:val="25"/>
        </w:rPr>
        <w:tab/>
        <w:t>Open parking garage is defined in Chapter 2:  “</w:t>
      </w:r>
      <w:r w:rsidRPr="00424967">
        <w:rPr>
          <w:rFonts w:ascii="NimbusSanL-Regu" w:eastAsiaTheme="minorHAnsi" w:hAnsi="NimbusSanL-Regu" w:cs="NimbusSanL-Regu"/>
          <w:sz w:val="25"/>
          <w:szCs w:val="25"/>
        </w:rPr>
        <w:t xml:space="preserve">OPEN PARKING GARAGE. A structure or portion of a structure with the openings as described in Section 406.5.2 on two or more sides that </w:t>
      </w:r>
      <w:proofErr w:type="gramStart"/>
      <w:r w:rsidRPr="00424967">
        <w:rPr>
          <w:rFonts w:ascii="NimbusSanL-Regu" w:eastAsiaTheme="minorHAnsi" w:hAnsi="NimbusSanL-Regu" w:cs="NimbusSanL-Regu"/>
          <w:sz w:val="25"/>
          <w:szCs w:val="25"/>
        </w:rPr>
        <w:t>is</w:t>
      </w:r>
      <w:proofErr w:type="gramEnd"/>
      <w:r w:rsidRPr="00424967">
        <w:rPr>
          <w:rFonts w:ascii="NimbusSanL-Regu" w:eastAsiaTheme="minorHAnsi" w:hAnsi="NimbusSanL-Regu" w:cs="NimbusSanL-Regu"/>
          <w:sz w:val="25"/>
          <w:szCs w:val="25"/>
        </w:rPr>
        <w:t xml:space="preserve"> used for the parking or storage of private motor vehicles as described in Section 406.5.3.”</w:t>
      </w:r>
    </w:p>
    <w:p w:rsidR="009F320A" w:rsidRPr="009F320A" w:rsidRDefault="009F320A" w:rsidP="009F320A">
      <w:pPr>
        <w:autoSpaceDE w:val="0"/>
        <w:autoSpaceDN w:val="0"/>
        <w:adjustRightInd w:val="0"/>
        <w:ind w:left="72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33306A">
        <w:rPr>
          <w:rFonts w:ascii="Times New Roman" w:hAnsi="Times New Roman"/>
          <w:sz w:val="24"/>
          <w:szCs w:val="24"/>
        </w:rPr>
      </w:r>
      <w:r w:rsidR="0033306A">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3306A">
        <w:rPr>
          <w:rFonts w:ascii="Times New Roman" w:hAnsi="Times New Roman"/>
          <w:sz w:val="24"/>
          <w:szCs w:val="24"/>
        </w:rPr>
      </w:r>
      <w:r w:rsidR="0033306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3306A">
        <w:rPr>
          <w:rFonts w:ascii="Times New Roman" w:hAnsi="Times New Roman"/>
          <w:sz w:val="24"/>
          <w:szCs w:val="24"/>
        </w:rPr>
      </w:r>
      <w:r w:rsidR="0033306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3306A">
        <w:rPr>
          <w:rFonts w:ascii="Times New Roman" w:hAnsi="Times New Roman"/>
          <w:sz w:val="24"/>
          <w:szCs w:val="24"/>
        </w:rPr>
      </w:r>
      <w:r w:rsidR="0033306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424967" w:rsidP="00B75D4C">
      <w:pPr>
        <w:tabs>
          <w:tab w:val="left" w:pos="-720"/>
          <w:tab w:val="left" w:pos="0"/>
          <w:tab w:val="left" w:pos="720"/>
        </w:tabs>
        <w:ind w:left="1080"/>
        <w:rPr>
          <w:rFonts w:ascii="Times New Roman" w:hAnsi="Times New Roman"/>
          <w:szCs w:val="24"/>
        </w:rPr>
      </w:pPr>
      <w:r>
        <w:rPr>
          <w:rFonts w:ascii="Times New Roman" w:hAnsi="Times New Roman"/>
          <w:szCs w:val="24"/>
        </w:rPr>
        <w:t xml:space="preserve"> X</w:t>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424967">
        <w:rPr>
          <w:rFonts w:ascii="Times New Roman" w:hAnsi="Times New Roman"/>
          <w:b/>
          <w:szCs w:val="24"/>
        </w:rPr>
        <w:t xml:space="preserve">X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33306A">
        <w:rPr>
          <w:rFonts w:ascii="Times New Roman" w:hAnsi="Times New Roman"/>
          <w:szCs w:val="24"/>
        </w:rPr>
      </w:r>
      <w:r w:rsidR="0033306A">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r w:rsidR="00424967">
        <w:rPr>
          <w:rFonts w:ascii="Times New Roman" w:hAnsi="Times New Roman"/>
          <w:szCs w:val="24"/>
        </w:rPr>
        <w:t xml:space="preserve">There would be a reduction in the cost of construction for open parking garages where the owner chooses to use the lower type of construction.  We derived data for the cost of construction from the August 2014 Building Valuation Data published by the International Code Council.  </w:t>
      </w:r>
      <w:hyperlink r:id="rId9" w:history="1">
        <w:r w:rsidR="00424967" w:rsidRPr="00A62779">
          <w:rPr>
            <w:rStyle w:val="Hyperlink"/>
            <w:rFonts w:ascii="Times New Roman" w:hAnsi="Times New Roman"/>
            <w:szCs w:val="24"/>
          </w:rPr>
          <w:t>http://www.iccsafe.org/cs/Pages/BVD.aspx</w:t>
        </w:r>
      </w:hyperlink>
      <w:r w:rsidR="00424967">
        <w:rPr>
          <w:rFonts w:ascii="Times New Roman" w:hAnsi="Times New Roman"/>
          <w:szCs w:val="24"/>
        </w:rPr>
        <w:t xml:space="preserve">.  </w:t>
      </w:r>
      <w:r w:rsidR="008970B9">
        <w:rPr>
          <w:rFonts w:ascii="Times New Roman" w:hAnsi="Times New Roman"/>
          <w:szCs w:val="24"/>
        </w:rPr>
        <w:t xml:space="preserve">The Building Valuation Data is used as the basis for building permit fees nationally by many jurisdictions. </w:t>
      </w:r>
      <w:r w:rsidR="00424967">
        <w:rPr>
          <w:rFonts w:ascii="Times New Roman" w:hAnsi="Times New Roman"/>
          <w:szCs w:val="24"/>
        </w:rPr>
        <w:t xml:space="preserve">The </w:t>
      </w:r>
      <w:r w:rsidR="008970B9">
        <w:rPr>
          <w:rFonts w:ascii="Times New Roman" w:hAnsi="Times New Roman"/>
          <w:szCs w:val="24"/>
        </w:rPr>
        <w:t>following excerpt from the Building Valuation Data t</w:t>
      </w:r>
      <w:r w:rsidR="00424967">
        <w:rPr>
          <w:rFonts w:ascii="Times New Roman" w:hAnsi="Times New Roman"/>
          <w:szCs w:val="24"/>
        </w:rPr>
        <w:t>able lists estimated per-square-cost</w:t>
      </w:r>
      <w:r w:rsidR="008970B9">
        <w:rPr>
          <w:rFonts w:ascii="Times New Roman" w:hAnsi="Times New Roman"/>
          <w:szCs w:val="24"/>
        </w:rPr>
        <w:t xml:space="preserve"> for parking garages of different construction types.</w:t>
      </w:r>
      <w:r w:rsidR="00424967">
        <w:rPr>
          <w:rFonts w:ascii="Times New Roman" w:hAnsi="Times New Roman"/>
          <w:szCs w:val="24"/>
        </w:rPr>
        <w:t xml:space="preserve">  Parking garages are classified as S-2 storage occupancies.</w:t>
      </w:r>
    </w:p>
    <w:p w:rsidR="00424967" w:rsidRDefault="00424967" w:rsidP="00E16D5E">
      <w:pPr>
        <w:ind w:left="720"/>
        <w:rPr>
          <w:rFonts w:ascii="Times New Roman" w:hAnsi="Times New Roman"/>
          <w:szCs w:val="24"/>
        </w:rPr>
      </w:pPr>
    </w:p>
    <w:tbl>
      <w:tblPr>
        <w:tblW w:w="100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900"/>
        <w:gridCol w:w="810"/>
        <w:gridCol w:w="810"/>
        <w:gridCol w:w="810"/>
        <w:gridCol w:w="810"/>
        <w:gridCol w:w="810"/>
        <w:gridCol w:w="810"/>
        <w:gridCol w:w="900"/>
        <w:gridCol w:w="900"/>
      </w:tblGrid>
      <w:tr w:rsidR="00424967" w:rsidRPr="00424967" w:rsidTr="0003169A">
        <w:trPr>
          <w:trHeight w:val="255"/>
          <w:jc w:val="center"/>
        </w:trPr>
        <w:tc>
          <w:tcPr>
            <w:tcW w:w="2535" w:type="dxa"/>
            <w:shd w:val="clear" w:color="auto" w:fill="auto"/>
            <w:noWrap/>
            <w:vAlign w:val="bottom"/>
            <w:hideMark/>
          </w:tcPr>
          <w:p w:rsidR="00424967" w:rsidRPr="00424967" w:rsidRDefault="00424967" w:rsidP="00424967">
            <w:pPr>
              <w:rPr>
                <w:rFonts w:ascii="Arial" w:hAnsi="Arial" w:cs="Arial"/>
                <w:sz w:val="20"/>
              </w:rPr>
            </w:pP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IA</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IB</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IIA</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IIB</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IIIA</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IIIB</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IV</w:t>
            </w: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VA</w:t>
            </w: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VB</w:t>
            </w:r>
          </w:p>
        </w:tc>
      </w:tr>
      <w:tr w:rsidR="00424967" w:rsidRPr="00424967" w:rsidTr="0003169A">
        <w:trPr>
          <w:trHeight w:val="255"/>
          <w:jc w:val="center"/>
        </w:trPr>
        <w:tc>
          <w:tcPr>
            <w:tcW w:w="2535"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S-2 Storage, low hazard</w:t>
            </w: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99.01</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94.07</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88.96</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84.35</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75.83</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71.07</w:t>
            </w:r>
          </w:p>
        </w:tc>
        <w:tc>
          <w:tcPr>
            <w:tcW w:w="81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80.38</w:t>
            </w: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61.11</w:t>
            </w:r>
          </w:p>
        </w:tc>
        <w:tc>
          <w:tcPr>
            <w:tcW w:w="900" w:type="dxa"/>
            <w:shd w:val="clear" w:color="auto" w:fill="auto"/>
            <w:noWrap/>
            <w:vAlign w:val="bottom"/>
            <w:hideMark/>
          </w:tcPr>
          <w:p w:rsidR="00424967" w:rsidRPr="00424967" w:rsidRDefault="00424967" w:rsidP="00424967">
            <w:pPr>
              <w:rPr>
                <w:rFonts w:ascii="Arial" w:hAnsi="Arial" w:cs="Arial"/>
                <w:sz w:val="20"/>
              </w:rPr>
            </w:pPr>
            <w:r w:rsidRPr="00424967">
              <w:rPr>
                <w:rFonts w:ascii="Arial" w:hAnsi="Arial" w:cs="Arial"/>
                <w:sz w:val="20"/>
              </w:rPr>
              <w:t>56.10</w:t>
            </w:r>
          </w:p>
        </w:tc>
      </w:tr>
    </w:tbl>
    <w:p w:rsidR="00424967" w:rsidRPr="0087578E" w:rsidRDefault="00424967" w:rsidP="00E16D5E">
      <w:pPr>
        <w:ind w:left="720"/>
        <w:rPr>
          <w:rFonts w:ascii="Times New Roman" w:hAnsi="Times New Roman"/>
          <w:szCs w:val="24"/>
        </w:rPr>
      </w:pPr>
      <w:r>
        <w:rPr>
          <w:rFonts w:ascii="Times New Roman" w:hAnsi="Times New Roman"/>
          <w:szCs w:val="24"/>
        </w:rPr>
        <w:lastRenderedPageBreak/>
        <w:t>The lowest type of construction allowed by the current code is Type IV</w:t>
      </w:r>
      <w:r w:rsidR="0003169A">
        <w:rPr>
          <w:rFonts w:ascii="Times New Roman" w:hAnsi="Times New Roman"/>
          <w:szCs w:val="24"/>
        </w:rPr>
        <w:t>; the lowest type allowed by this proposal is Type VB</w:t>
      </w:r>
      <w:r>
        <w:rPr>
          <w:rFonts w:ascii="Times New Roman" w:hAnsi="Times New Roman"/>
          <w:szCs w:val="24"/>
        </w:rPr>
        <w:t xml:space="preserve">.  The difference in cost for </w:t>
      </w:r>
      <w:proofErr w:type="gramStart"/>
      <w:r>
        <w:rPr>
          <w:rFonts w:ascii="Times New Roman" w:hAnsi="Times New Roman"/>
          <w:szCs w:val="24"/>
        </w:rPr>
        <w:t>an S</w:t>
      </w:r>
      <w:proofErr w:type="gramEnd"/>
      <w:r>
        <w:rPr>
          <w:rFonts w:ascii="Times New Roman" w:hAnsi="Times New Roman"/>
          <w:szCs w:val="24"/>
        </w:rPr>
        <w:t>-2 occupancy of Type IV construction</w:t>
      </w:r>
      <w:r w:rsidR="0003169A">
        <w:rPr>
          <w:rFonts w:ascii="Times New Roman" w:hAnsi="Times New Roman"/>
          <w:szCs w:val="24"/>
        </w:rPr>
        <w:t xml:space="preserve"> and the same building of Type VB construction is $24.28 per square foot.  The amount of estimated cost reduction would vary depending on the type of construction chosen for a particular building, but the estimated cost for the construction types added by this proposal are all lower than the costs for the types of construction required by the current code.</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03169A" w:rsidRPr="0033146D" w:rsidTr="007464D5">
        <w:trPr>
          <w:trHeight w:val="144"/>
        </w:trPr>
        <w:tc>
          <w:tcPr>
            <w:tcW w:w="1908" w:type="dxa"/>
          </w:tcPr>
          <w:p w:rsidR="0003169A" w:rsidRPr="0087578E" w:rsidRDefault="0003169A"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03169A" w:rsidRPr="0087578E" w:rsidRDefault="0003169A" w:rsidP="006223A8">
            <w:pPr>
              <w:tabs>
                <w:tab w:val="left" w:pos="4320"/>
              </w:tabs>
              <w:ind w:right="-1440"/>
              <w:rPr>
                <w:rFonts w:ascii="Times New Roman" w:hAnsi="Times New Roman"/>
                <w:szCs w:val="24"/>
              </w:rPr>
            </w:pPr>
          </w:p>
        </w:tc>
        <w:tc>
          <w:tcPr>
            <w:tcW w:w="1350" w:type="dxa"/>
          </w:tcPr>
          <w:p w:rsidR="0003169A" w:rsidRPr="0087578E" w:rsidRDefault="0003169A" w:rsidP="006223A8">
            <w:pPr>
              <w:tabs>
                <w:tab w:val="left" w:pos="4320"/>
              </w:tabs>
              <w:ind w:right="-1440"/>
              <w:rPr>
                <w:rFonts w:ascii="Times New Roman" w:hAnsi="Times New Roman"/>
                <w:szCs w:val="24"/>
              </w:rPr>
            </w:pPr>
            <w:r>
              <w:rPr>
                <w:rFonts w:ascii="Times New Roman" w:hAnsi="Times New Roman"/>
                <w:szCs w:val="24"/>
              </w:rPr>
              <w:t>$24.28</w:t>
            </w:r>
          </w:p>
        </w:tc>
        <w:tc>
          <w:tcPr>
            <w:tcW w:w="1530" w:type="dxa"/>
          </w:tcPr>
          <w:p w:rsidR="0003169A" w:rsidRPr="0087578E" w:rsidRDefault="0003169A" w:rsidP="00286389">
            <w:pPr>
              <w:tabs>
                <w:tab w:val="left" w:pos="4320"/>
              </w:tabs>
              <w:ind w:right="-1440"/>
              <w:rPr>
                <w:rFonts w:ascii="Times New Roman" w:hAnsi="Times New Roman"/>
                <w:szCs w:val="24"/>
              </w:rPr>
            </w:pPr>
            <w:r>
              <w:rPr>
                <w:rFonts w:ascii="Times New Roman" w:hAnsi="Times New Roman"/>
                <w:szCs w:val="24"/>
              </w:rPr>
              <w:t>no change</w:t>
            </w:r>
          </w:p>
        </w:tc>
        <w:tc>
          <w:tcPr>
            <w:tcW w:w="1530" w:type="dxa"/>
          </w:tcPr>
          <w:p w:rsidR="0003169A" w:rsidRPr="0087578E" w:rsidRDefault="0003169A" w:rsidP="00286389">
            <w:pPr>
              <w:tabs>
                <w:tab w:val="left" w:pos="4320"/>
              </w:tabs>
              <w:ind w:right="-1440"/>
              <w:rPr>
                <w:rFonts w:ascii="Times New Roman" w:hAnsi="Times New Roman"/>
                <w:szCs w:val="24"/>
              </w:rPr>
            </w:pPr>
            <w:r>
              <w:rPr>
                <w:rFonts w:ascii="Times New Roman" w:hAnsi="Times New Roman"/>
                <w:szCs w:val="24"/>
              </w:rPr>
              <w:t>no change</w:t>
            </w:r>
          </w:p>
        </w:tc>
        <w:tc>
          <w:tcPr>
            <w:tcW w:w="1530" w:type="dxa"/>
          </w:tcPr>
          <w:p w:rsidR="0003169A" w:rsidRPr="0087578E" w:rsidRDefault="0003169A" w:rsidP="00286389">
            <w:pPr>
              <w:tabs>
                <w:tab w:val="left" w:pos="4320"/>
              </w:tabs>
              <w:ind w:right="-1440"/>
              <w:rPr>
                <w:rFonts w:ascii="Times New Roman" w:hAnsi="Times New Roman"/>
                <w:szCs w:val="24"/>
              </w:rPr>
            </w:pPr>
            <w:r>
              <w:rPr>
                <w:rFonts w:ascii="Times New Roman" w:hAnsi="Times New Roman"/>
                <w:szCs w:val="24"/>
              </w:rPr>
              <w:t>no change</w:t>
            </w:r>
          </w:p>
        </w:tc>
        <w:tc>
          <w:tcPr>
            <w:tcW w:w="1710" w:type="dxa"/>
          </w:tcPr>
          <w:p w:rsidR="0003169A" w:rsidRPr="0087578E" w:rsidRDefault="0003169A" w:rsidP="00286389">
            <w:pPr>
              <w:tabs>
                <w:tab w:val="left" w:pos="4320"/>
              </w:tabs>
              <w:ind w:right="-1440"/>
              <w:rPr>
                <w:rFonts w:ascii="Times New Roman" w:hAnsi="Times New Roman"/>
                <w:szCs w:val="24"/>
              </w:rPr>
            </w:pPr>
            <w:r>
              <w:rPr>
                <w:rFonts w:ascii="Times New Roman" w:hAnsi="Times New Roman"/>
                <w:szCs w:val="24"/>
              </w:rPr>
              <w:t>no change</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64" w:rsidRDefault="00601D64" w:rsidP="00110F55">
      <w:r>
        <w:separator/>
      </w:r>
    </w:p>
  </w:endnote>
  <w:endnote w:type="continuationSeparator" w:id="0">
    <w:p w:rsidR="00601D64" w:rsidRDefault="00601D64"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3306A">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3306A">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64" w:rsidRDefault="00601D64" w:rsidP="00110F55">
      <w:r>
        <w:separator/>
      </w:r>
    </w:p>
  </w:footnote>
  <w:footnote w:type="continuationSeparator" w:id="0">
    <w:p w:rsidR="00601D64" w:rsidRDefault="00601D64"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169A"/>
    <w:rsid w:val="00033870"/>
    <w:rsid w:val="00075F76"/>
    <w:rsid w:val="00082B95"/>
    <w:rsid w:val="000835B8"/>
    <w:rsid w:val="0008710D"/>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3306A"/>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4967"/>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1D64"/>
    <w:rsid w:val="00603175"/>
    <w:rsid w:val="006223A8"/>
    <w:rsid w:val="00627A01"/>
    <w:rsid w:val="006309FD"/>
    <w:rsid w:val="0063479B"/>
    <w:rsid w:val="006607C5"/>
    <w:rsid w:val="00674296"/>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81A4D"/>
    <w:rsid w:val="008970B9"/>
    <w:rsid w:val="00904963"/>
    <w:rsid w:val="00916C2B"/>
    <w:rsid w:val="0092653D"/>
    <w:rsid w:val="009359D1"/>
    <w:rsid w:val="00935FF7"/>
    <w:rsid w:val="0096271B"/>
    <w:rsid w:val="00965EED"/>
    <w:rsid w:val="009A5583"/>
    <w:rsid w:val="009B169E"/>
    <w:rsid w:val="009B7373"/>
    <w:rsid w:val="009B75F2"/>
    <w:rsid w:val="009E0F3E"/>
    <w:rsid w:val="009F2267"/>
    <w:rsid w:val="009F320A"/>
    <w:rsid w:val="00A22418"/>
    <w:rsid w:val="00A91B50"/>
    <w:rsid w:val="00AB3F11"/>
    <w:rsid w:val="00AB555C"/>
    <w:rsid w:val="00B002D8"/>
    <w:rsid w:val="00B257C2"/>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77078690">
      <w:bodyDiv w:val="1"/>
      <w:marLeft w:val="0"/>
      <w:marRight w:val="0"/>
      <w:marTop w:val="0"/>
      <w:marBottom w:val="0"/>
      <w:divBdr>
        <w:top w:val="none" w:sz="0" w:space="0" w:color="auto"/>
        <w:left w:val="none" w:sz="0" w:space="0" w:color="auto"/>
        <w:bottom w:val="none" w:sz="0" w:space="0" w:color="auto"/>
        <w:right w:val="none" w:sz="0" w:space="0" w:color="auto"/>
      </w:divBdr>
    </w:div>
    <w:div w:id="20240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www.iccsafe.org/cs/Pages/BVD.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33BC-2F72-4314-8F6C-0A8ABE30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2015-03-02T23:34:00Z</dcterms:created>
  <dcterms:modified xsi:type="dcterms:W3CDTF">2015-03-02T23:34:00Z</dcterms:modified>
</cp:coreProperties>
</file>