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1A2D31" w:rsidP="001A2D31">
      <w:pPr>
        <w:tabs>
          <w:tab w:val="left" w:pos="-720"/>
        </w:tabs>
        <w:jc w:val="right"/>
        <w:rPr>
          <w:rFonts w:ascii="Times New Roman" w:hAnsi="Times New Roman"/>
          <w:b/>
        </w:rPr>
      </w:pPr>
      <w:r>
        <w:rPr>
          <w:rFonts w:ascii="Times New Roman" w:hAnsi="Times New Roman"/>
          <w:b/>
        </w:rPr>
        <w:t>15-030</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7F308B">
        <w:rPr>
          <w:rFonts w:ascii="Times New Roman" w:hAnsi="Times New Roman"/>
          <w:szCs w:val="24"/>
        </w:rPr>
        <w:fldChar w:fldCharType="begin">
          <w:ffData>
            <w:name w:val=""/>
            <w:enabled/>
            <w:calcOnExit w:val="0"/>
            <w:checkBox>
              <w:sizeAuto/>
              <w:default w:val="1"/>
            </w:checkBox>
          </w:ffData>
        </w:fldChar>
      </w:r>
      <w:r w:rsidR="007F308B">
        <w:rPr>
          <w:rFonts w:ascii="Times New Roman" w:hAnsi="Times New Roman"/>
          <w:szCs w:val="24"/>
        </w:rPr>
        <w:instrText xml:space="preserve"> FORMCHECKBOX </w:instrText>
      </w:r>
      <w:r w:rsidR="001A2D31">
        <w:rPr>
          <w:rFonts w:ascii="Times New Roman" w:hAnsi="Times New Roman"/>
          <w:szCs w:val="24"/>
        </w:rPr>
      </w:r>
      <w:r w:rsidR="001A2D31">
        <w:rPr>
          <w:rFonts w:ascii="Times New Roman" w:hAnsi="Times New Roman"/>
          <w:szCs w:val="24"/>
        </w:rPr>
        <w:fldChar w:fldCharType="separate"/>
      </w:r>
      <w:r w:rsidR="007F308B">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A2D31">
        <w:rPr>
          <w:rFonts w:ascii="Times New Roman" w:hAnsi="Times New Roman"/>
          <w:szCs w:val="24"/>
        </w:rPr>
      </w:r>
      <w:r w:rsidR="001A2D3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A2D31">
        <w:rPr>
          <w:rFonts w:ascii="Times New Roman" w:hAnsi="Times New Roman"/>
          <w:szCs w:val="24"/>
        </w:rPr>
      </w:r>
      <w:r w:rsidR="001A2D31">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A2D31">
        <w:rPr>
          <w:rFonts w:ascii="Times New Roman" w:hAnsi="Times New Roman"/>
          <w:szCs w:val="24"/>
        </w:rPr>
      </w:r>
      <w:r w:rsidR="001A2D3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A2D31">
        <w:rPr>
          <w:rFonts w:ascii="Times New Roman" w:hAnsi="Times New Roman"/>
          <w:szCs w:val="24"/>
        </w:rPr>
      </w:r>
      <w:r w:rsidR="001A2D3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A2D31">
        <w:rPr>
          <w:rFonts w:ascii="Times New Roman" w:hAnsi="Times New Roman"/>
          <w:szCs w:val="24"/>
        </w:rPr>
      </w:r>
      <w:r w:rsidR="001A2D3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7F308B">
        <w:rPr>
          <w:rFonts w:ascii="Times New Roman" w:hAnsi="Times New Roman"/>
          <w:szCs w:val="24"/>
        </w:rPr>
        <w:fldChar w:fldCharType="begin">
          <w:ffData>
            <w:name w:val=""/>
            <w:enabled/>
            <w:calcOnExit w:val="0"/>
            <w:checkBox>
              <w:sizeAuto/>
              <w:default w:val="0"/>
            </w:checkBox>
          </w:ffData>
        </w:fldChar>
      </w:r>
      <w:r w:rsidR="007F308B">
        <w:rPr>
          <w:rFonts w:ascii="Times New Roman" w:hAnsi="Times New Roman"/>
          <w:szCs w:val="24"/>
        </w:rPr>
        <w:instrText xml:space="preserve"> FORMCHECKBOX </w:instrText>
      </w:r>
      <w:r w:rsidR="001A2D31">
        <w:rPr>
          <w:rFonts w:ascii="Times New Roman" w:hAnsi="Times New Roman"/>
          <w:szCs w:val="24"/>
        </w:rPr>
      </w:r>
      <w:r w:rsidR="001A2D31">
        <w:rPr>
          <w:rFonts w:ascii="Times New Roman" w:hAnsi="Times New Roman"/>
          <w:szCs w:val="24"/>
        </w:rPr>
        <w:fldChar w:fldCharType="separate"/>
      </w:r>
      <w:r w:rsidR="007F308B">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A2D31">
        <w:rPr>
          <w:rFonts w:ascii="Times New Roman" w:hAnsi="Times New Roman"/>
          <w:szCs w:val="24"/>
        </w:rPr>
      </w:r>
      <w:r w:rsidR="001A2D3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A2D31">
        <w:rPr>
          <w:rFonts w:ascii="Times New Roman" w:hAnsi="Times New Roman"/>
          <w:szCs w:val="24"/>
        </w:rPr>
      </w:r>
      <w:r w:rsidR="001A2D3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A2D31">
        <w:rPr>
          <w:rFonts w:ascii="Times New Roman" w:hAnsi="Times New Roman"/>
          <w:szCs w:val="24"/>
        </w:rPr>
      </w:r>
      <w:r w:rsidR="001A2D31">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A2D31">
        <w:rPr>
          <w:rFonts w:ascii="Times New Roman" w:hAnsi="Times New Roman"/>
          <w:szCs w:val="24"/>
        </w:rPr>
      </w:r>
      <w:r w:rsidR="001A2D31">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1A2D31">
        <w:rPr>
          <w:rFonts w:ascii="Times New Roman" w:hAnsi="Times New Roman"/>
          <w:szCs w:val="24"/>
        </w:rPr>
      </w:r>
      <w:r w:rsidR="001A2D31">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B807BC" w:rsidRPr="007F308B" w:rsidRDefault="00BB1D76" w:rsidP="007F308B">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7F308B">
        <w:rPr>
          <w:rFonts w:ascii="Times New Roman" w:hAnsi="Times New Roman"/>
          <w:b/>
        </w:rPr>
        <w:t xml:space="preserve">  </w:t>
      </w:r>
      <w:r w:rsidR="007F308B">
        <w:t>2407.1.1 and 2407.1.2</w:t>
      </w:r>
    </w:p>
    <w:p w:rsidR="00243532" w:rsidRPr="007464D5" w:rsidRDefault="00243532" w:rsidP="00243532">
      <w:pPr>
        <w:tabs>
          <w:tab w:val="left" w:pos="-720"/>
        </w:tabs>
        <w:rPr>
          <w:rFonts w:ascii="Times New Roman" w:hAnsi="Times New Roman"/>
          <w:szCs w:val="24"/>
        </w:rPr>
      </w:pPr>
    </w:p>
    <w:p w:rsidR="00243532" w:rsidRPr="00243532" w:rsidRDefault="00243532" w:rsidP="00243532">
      <w:pPr>
        <w:tabs>
          <w:tab w:val="left" w:pos="-720"/>
        </w:tabs>
        <w:rPr>
          <w:rFonts w:ascii="Times New Roman" w:hAnsi="Times New Roman"/>
          <w:b/>
          <w:sz w:val="20"/>
        </w:rPr>
      </w:pPr>
    </w:p>
    <w:p w:rsidR="00BB1D76" w:rsidRPr="00BF3676" w:rsidRDefault="004A172E" w:rsidP="00757729">
      <w:pPr>
        <w:tabs>
          <w:tab w:val="left" w:pos="-720"/>
        </w:tabs>
        <w:spacing w:before="160"/>
        <w:rPr>
          <w:rFonts w:ascii="Times New Roman" w:hAnsi="Times New Roman"/>
        </w:rPr>
      </w:pPr>
      <w:r>
        <w:rPr>
          <w:rFonts w:ascii="Times New Roman" w:hAnsi="Times New Roman"/>
          <w:b/>
        </w:rPr>
        <w:t>Title</w:t>
      </w:r>
      <w:r w:rsidR="00243532">
        <w:rPr>
          <w:rFonts w:ascii="Times New Roman" w:hAnsi="Times New Roman"/>
          <w:b/>
        </w:rPr>
        <w:t xml:space="preserve">: </w:t>
      </w:r>
      <w:r w:rsidR="00757729">
        <w:rPr>
          <w:rFonts w:ascii="Times New Roman" w:hAnsi="Times New Roman"/>
          <w:b/>
        </w:rPr>
        <w:t xml:space="preserve"> </w:t>
      </w:r>
      <w:r w:rsidR="00757729">
        <w:rPr>
          <w:rFonts w:ascii="Times New Roman" w:hAnsi="Times New Roman"/>
        </w:rPr>
        <w:t xml:space="preserve"> </w:t>
      </w:r>
      <w:r w:rsidR="007F308B">
        <w:rPr>
          <w:rFonts w:ascii="Times New Roman" w:hAnsi="Times New Roman"/>
        </w:rPr>
        <w:t>Modify</w:t>
      </w:r>
      <w:r w:rsidR="00757729">
        <w:rPr>
          <w:rFonts w:ascii="Times New Roman" w:hAnsi="Times New Roman"/>
        </w:rPr>
        <w:t xml:space="preserve"> glass guardrail support requirement &amp; exception to</w:t>
      </w:r>
      <w:r w:rsidR="007F308B">
        <w:rPr>
          <w:rFonts w:ascii="Times New Roman" w:hAnsi="Times New Roman"/>
        </w:rPr>
        <w:t xml:space="preserve"> be consistent with</w:t>
      </w:r>
      <w:r w:rsidR="00757729">
        <w:rPr>
          <w:rFonts w:ascii="Times New Roman" w:hAnsi="Times New Roman"/>
        </w:rPr>
        <w:t xml:space="preserve"> IRC</w:t>
      </w:r>
      <w:r w:rsidR="002807BE">
        <w:rPr>
          <w:rFonts w:ascii="Times New Roman" w:hAnsi="Times New Roman"/>
        </w:rPr>
        <w:t xml:space="preserve"> </w:t>
      </w:r>
      <w:r w:rsidR="00757729">
        <w:rPr>
          <w:rFonts w:ascii="Times New Roman" w:hAnsi="Times New Roman"/>
        </w:rPr>
        <w:t>Section 308.4.4</w:t>
      </w:r>
      <w:r w:rsidR="007F308B">
        <w:rPr>
          <w:rFonts w:ascii="Times New Roman" w:hAnsi="Times New Roman"/>
        </w:rPr>
        <w:t>.1.</w:t>
      </w:r>
    </w:p>
    <w:p w:rsidR="00CC1473" w:rsidRDefault="004A172E" w:rsidP="00BB1D76">
      <w:pPr>
        <w:tabs>
          <w:tab w:val="left" w:pos="-720"/>
        </w:tabs>
        <w:rPr>
          <w:rFonts w:ascii="Times New Roman" w:hAnsi="Times New Roman"/>
        </w:rPr>
      </w:pPr>
      <w:r w:rsidRPr="007464D5">
        <w:rPr>
          <w:rFonts w:ascii="Times New Roman" w:hAnsi="Times New Roman"/>
          <w:szCs w:val="24"/>
        </w:rPr>
        <w:tab/>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B728FF" w:rsidRDefault="004A172E" w:rsidP="00B728FF">
      <w:pPr>
        <w:tabs>
          <w:tab w:val="left" w:pos="-720"/>
        </w:tabs>
        <w:rPr>
          <w:rFonts w:ascii="Times New Roman" w:hAnsi="Times New Roman"/>
          <w:b/>
        </w:rPr>
      </w:pPr>
      <w:r>
        <w:rPr>
          <w:rFonts w:ascii="Times New Roman" w:hAnsi="Times New Roman"/>
        </w:rPr>
        <w:tab/>
      </w:r>
      <w:r w:rsidRPr="00243532">
        <w:rPr>
          <w:rFonts w:ascii="Times New Roman" w:hAnsi="Times New Roman"/>
          <w:b/>
        </w:rPr>
        <w:t>Proponent</w:t>
      </w:r>
      <w:r w:rsidR="00B728FF">
        <w:rPr>
          <w:rFonts w:ascii="Times New Roman" w:hAnsi="Times New Roman"/>
          <w:b/>
        </w:rPr>
        <w:t>s</w:t>
      </w:r>
      <w:r w:rsidR="00243532">
        <w:rPr>
          <w:rFonts w:ascii="Times New Roman" w:hAnsi="Times New Roman"/>
          <w:b/>
        </w:rPr>
        <w:t>:</w:t>
      </w:r>
      <w:r w:rsidR="007464D5">
        <w:rPr>
          <w:rFonts w:ascii="Times New Roman" w:hAnsi="Times New Roman"/>
          <w:b/>
        </w:rPr>
        <w:tab/>
      </w:r>
      <w:r w:rsidR="00B728FF" w:rsidRPr="00B728FF">
        <w:rPr>
          <w:rFonts w:ascii="Times New Roman" w:hAnsi="Times New Roman"/>
        </w:rPr>
        <w:t xml:space="preserve">Jonathan Siu, representing the City of Seattle and </w:t>
      </w:r>
    </w:p>
    <w:p w:rsidR="00B807BC" w:rsidRDefault="00B728FF" w:rsidP="00B728FF">
      <w:pPr>
        <w:tabs>
          <w:tab w:val="left" w:pos="-720"/>
        </w:tabs>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sidR="00B807BC">
        <w:rPr>
          <w:rFonts w:ascii="Times New Roman" w:hAnsi="Times New Roman"/>
        </w:rPr>
        <w:t xml:space="preserve">Lee J. Kranz, </w:t>
      </w:r>
      <w:r w:rsidR="00B807BC" w:rsidRPr="00B807BC">
        <w:rPr>
          <w:rFonts w:ascii="Times New Roman" w:hAnsi="Times New Roman"/>
        </w:rPr>
        <w:t xml:space="preserve">representing </w:t>
      </w:r>
      <w:r w:rsidR="00B807BC">
        <w:rPr>
          <w:rFonts w:ascii="Times New Roman" w:hAnsi="Times New Roman"/>
        </w:rPr>
        <w:t xml:space="preserve">the </w:t>
      </w:r>
      <w:r>
        <w:rPr>
          <w:rFonts w:ascii="Times New Roman" w:hAnsi="Times New Roman"/>
        </w:rPr>
        <w:t>City of Bellevue</w:t>
      </w:r>
    </w:p>
    <w:p w:rsidR="00243532" w:rsidRPr="00C9202B" w:rsidRDefault="00243532" w:rsidP="00243532">
      <w:pPr>
        <w:tabs>
          <w:tab w:val="left" w:pos="-720"/>
        </w:tabs>
        <w:spacing w:line="276" w:lineRule="auto"/>
        <w:rPr>
          <w:rFonts w:ascii="Times New Roman" w:hAnsi="Times New Roman"/>
        </w:rPr>
      </w:pPr>
    </w:p>
    <w:p w:rsidR="00243532" w:rsidRPr="00C9202B" w:rsidRDefault="00243532" w:rsidP="00243532">
      <w:pPr>
        <w:tabs>
          <w:tab w:val="left" w:pos="-720"/>
        </w:tabs>
        <w:spacing w:line="276" w:lineRule="auto"/>
        <w:rPr>
          <w:rFonts w:ascii="Times New Roman" w:hAnsi="Times New Roman"/>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C9202B">
        <w:rPr>
          <w:rFonts w:ascii="Times New Roman" w:hAnsi="Times New Roman"/>
          <w:b/>
        </w:rPr>
        <w:tab/>
      </w:r>
    </w:p>
    <w:p w:rsidR="00BB1D76" w:rsidRPr="00C9202B" w:rsidRDefault="00243532" w:rsidP="00243532">
      <w:pPr>
        <w:tabs>
          <w:tab w:val="left" w:pos="-720"/>
        </w:tabs>
        <w:spacing w:line="276" w:lineRule="auto"/>
        <w:rPr>
          <w:rFonts w:ascii="Times New Roman" w:hAnsi="Times New Roman"/>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7F308B">
        <w:rPr>
          <w:rFonts w:ascii="Times New Roman" w:hAnsi="Times New Roman"/>
        </w:rPr>
        <w:tab/>
      </w:r>
      <w:r w:rsidR="007F308B">
        <w:rPr>
          <w:rFonts w:ascii="Times New Roman" w:hAnsi="Times New Roman"/>
        </w:rPr>
        <w:tab/>
        <w:t>February 26</w:t>
      </w:r>
      <w:r w:rsidR="00B807BC">
        <w:rPr>
          <w:rFonts w:ascii="Times New Roman" w:hAnsi="Times New Roman"/>
        </w:rPr>
        <w:t>, 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Pr="00C9202B" w:rsidRDefault="00243532" w:rsidP="00243532">
      <w:pPr>
        <w:tabs>
          <w:tab w:val="left" w:pos="-720"/>
        </w:tabs>
        <w:spacing w:line="276" w:lineRule="auto"/>
        <w:rPr>
          <w:rFonts w:ascii="Times New Roman" w:hAnsi="Times New Roman"/>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C9202B">
        <w:rPr>
          <w:rFonts w:ascii="Times New Roman" w:hAnsi="Times New Roman"/>
          <w:b/>
        </w:rPr>
        <w:tab/>
      </w:r>
      <w:r w:rsidR="00C9202B">
        <w:rPr>
          <w:rFonts w:ascii="Times New Roman" w:hAnsi="Times New Roman"/>
        </w:rPr>
        <w:t>Lee J. Kranz</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C9202B">
        <w:rPr>
          <w:rFonts w:ascii="Times New Roman" w:hAnsi="Times New Roman"/>
          <w:b/>
        </w:rPr>
        <w:tab/>
      </w:r>
      <w:r w:rsidR="00C9202B">
        <w:rPr>
          <w:rFonts w:ascii="Times New Roman" w:hAnsi="Times New Roman"/>
          <w:b/>
        </w:rPr>
        <w:tab/>
      </w:r>
      <w:r w:rsidR="00C9202B">
        <w:rPr>
          <w:rFonts w:ascii="Times New Roman" w:hAnsi="Times New Roman"/>
        </w:rPr>
        <w:t>Plan Review Supervisor</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C9202B">
        <w:rPr>
          <w:rFonts w:ascii="Times New Roman" w:hAnsi="Times New Roman"/>
          <w:b/>
        </w:rPr>
        <w:tab/>
      </w:r>
      <w:r w:rsidR="00C9202B">
        <w:rPr>
          <w:rFonts w:ascii="Times New Roman" w:hAnsi="Times New Roman"/>
        </w:rPr>
        <w:t>450 110</w:t>
      </w:r>
      <w:r w:rsidR="00C9202B" w:rsidRPr="00C9202B">
        <w:rPr>
          <w:rFonts w:ascii="Times New Roman" w:hAnsi="Times New Roman"/>
          <w:vertAlign w:val="superscript"/>
        </w:rPr>
        <w:t>th</w:t>
      </w:r>
      <w:r w:rsidR="00C9202B">
        <w:rPr>
          <w:rFonts w:ascii="Times New Roman" w:hAnsi="Times New Roman"/>
        </w:rPr>
        <w:t xml:space="preserve"> Ave. NE</w:t>
      </w:r>
    </w:p>
    <w:p w:rsidR="00C9202B" w:rsidRPr="00C9202B" w:rsidRDefault="00C9202B" w:rsidP="00243532">
      <w:pPr>
        <w:tabs>
          <w:tab w:val="left" w:pos="-720"/>
        </w:tabs>
        <w:spacing w:line="276"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Bellevue, WA 98056</w:t>
      </w: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proofErr w:type="gramStart"/>
      <w:r>
        <w:rPr>
          <w:rFonts w:ascii="Times New Roman" w:hAnsi="Times New Roman"/>
          <w:b/>
        </w:rPr>
        <w:t>:</w:t>
      </w:r>
      <w:r w:rsidR="00757FA5" w:rsidRPr="00757FA5">
        <w:rPr>
          <w:rFonts w:ascii="Times New Roman" w:hAnsi="Times New Roman"/>
        </w:rPr>
        <w:t>425</w:t>
      </w:r>
      <w:proofErr w:type="gramEnd"/>
      <w:r w:rsidR="00757FA5" w:rsidRPr="00757FA5">
        <w:rPr>
          <w:rFonts w:ascii="Times New Roman" w:hAnsi="Times New Roman"/>
        </w:rPr>
        <w:t>-452-2732</w:t>
      </w:r>
    </w:p>
    <w:p w:rsidR="00D96B31" w:rsidRPr="00757FA5"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757FA5">
        <w:rPr>
          <w:rFonts w:ascii="Times New Roman" w:hAnsi="Times New Roman"/>
        </w:rPr>
        <w:tab/>
      </w:r>
      <w:r w:rsidR="00757FA5">
        <w:rPr>
          <w:rFonts w:ascii="Times New Roman" w:hAnsi="Times New Roman"/>
        </w:rPr>
        <w:tab/>
        <w:t>206-915-5835</w:t>
      </w:r>
    </w:p>
    <w:p w:rsidR="00B7203D" w:rsidRPr="00757FA5" w:rsidRDefault="00D96B31"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757FA5">
        <w:rPr>
          <w:rFonts w:ascii="Times New Roman" w:hAnsi="Times New Roman"/>
        </w:rPr>
        <w:t>lkranz@bellevuewa.gov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757FA5"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Pr>
          <w:rFonts w:ascii="Times New Roman" w:hAnsi="Times New Roman"/>
        </w:rPr>
        <w:t xml:space="preserve"> </w:t>
      </w:r>
      <w:r w:rsidRPr="00757FA5">
        <w:rPr>
          <w:rFonts w:ascii="Times New Roman" w:hAnsi="Times New Roman"/>
          <w:b/>
        </w:rPr>
        <w:t>20</w:t>
      </w:r>
      <w:r w:rsidR="00B807BC">
        <w:rPr>
          <w:rFonts w:ascii="Times New Roman" w:hAnsi="Times New Roman"/>
          <w:b/>
        </w:rPr>
        <w:t>15</w:t>
      </w:r>
      <w:r w:rsidR="00757729">
        <w:rPr>
          <w:rFonts w:ascii="Times New Roman" w:hAnsi="Times New Roman"/>
          <w:b/>
        </w:rPr>
        <w:t xml:space="preserve"> IR</w:t>
      </w:r>
      <w:r w:rsidRPr="00757FA5">
        <w:rPr>
          <w:rFonts w:ascii="Times New Roman" w:hAnsi="Times New Roman"/>
          <w:b/>
        </w:rPr>
        <w:t>C</w:t>
      </w:r>
      <w:r>
        <w:rPr>
          <w:rFonts w:ascii="Times New Roman" w:hAnsi="Times New Roman"/>
        </w:rPr>
        <w:tab/>
      </w:r>
      <w:r>
        <w:rPr>
          <w:rFonts w:ascii="Times New Roman" w:hAnsi="Times New Roman"/>
        </w:rPr>
        <w:tab/>
      </w:r>
      <w:r w:rsidR="00514761">
        <w:rPr>
          <w:rFonts w:ascii="Times New Roman" w:hAnsi="Times New Roman"/>
        </w:rPr>
        <w:t xml:space="preserve">    </w:t>
      </w:r>
      <w:r w:rsidR="00BB1D76">
        <w:rPr>
          <w:rFonts w:ascii="Times New Roman" w:hAnsi="Times New Roman"/>
        </w:rPr>
        <w:t xml:space="preserve">   </w:t>
      </w:r>
      <w:r w:rsidR="00BB1D76">
        <w:rPr>
          <w:rFonts w:ascii="Times New Roman" w:hAnsi="Times New Roman"/>
          <w:b/>
        </w:rPr>
        <w:t>Section</w:t>
      </w:r>
      <w:r w:rsidR="00B807BC">
        <w:rPr>
          <w:rFonts w:ascii="Times New Roman" w:hAnsi="Times New Roman"/>
        </w:rPr>
        <w:t xml:space="preserve"> </w:t>
      </w:r>
      <w:r w:rsidR="00757729">
        <w:rPr>
          <w:b/>
        </w:rPr>
        <w:t>308.4.4.</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728FF" w:rsidRDefault="00BB1D76" w:rsidP="00FB746A">
      <w:pPr>
        <w:tabs>
          <w:tab w:val="left" w:pos="-720"/>
        </w:tabs>
        <w:rPr>
          <w:rFonts w:ascii="Times New Roman" w:hAnsi="Times New Roman"/>
        </w:rPr>
      </w:pPr>
      <w:r>
        <w:rPr>
          <w:rFonts w:ascii="Times New Roman" w:hAnsi="Times New Roman"/>
        </w:rPr>
        <w:tab/>
      </w:r>
    </w:p>
    <w:p w:rsidR="00BB1D76" w:rsidRPr="008A1BAF" w:rsidRDefault="007F308B" w:rsidP="00FB746A">
      <w:pPr>
        <w:tabs>
          <w:tab w:val="left" w:pos="-720"/>
        </w:tabs>
        <w:rPr>
          <w:rFonts w:ascii="Times New Roman" w:hAnsi="Times New Roman"/>
          <w:color w:val="FF0000"/>
        </w:rPr>
      </w:pPr>
      <w:r w:rsidRPr="008A1BAF">
        <w:rPr>
          <w:rFonts w:ascii="Times New Roman" w:hAnsi="Times New Roman"/>
          <w:color w:val="FF0000"/>
        </w:rPr>
        <w:t>Modify Section 2407.1.1 and replace Section 2407.1.2</w:t>
      </w:r>
      <w:r w:rsidR="00BB1D76" w:rsidRPr="008A1BAF">
        <w:rPr>
          <w:rFonts w:ascii="Times New Roman" w:hAnsi="Times New Roman"/>
          <w:color w:val="FF0000"/>
        </w:rPr>
        <w:t xml:space="preserve"> to read as follows:</w:t>
      </w:r>
    </w:p>
    <w:p w:rsidR="007F308B" w:rsidRPr="008A1BAF" w:rsidRDefault="007F308B" w:rsidP="007F308B">
      <w:pPr>
        <w:autoSpaceDE w:val="0"/>
        <w:autoSpaceDN w:val="0"/>
        <w:adjustRightInd w:val="0"/>
        <w:rPr>
          <w:rFonts w:ascii="TimesNewRoman,Bold" w:hAnsi="TimesNewRoman,Bold" w:cs="TimesNewRoman,Bold"/>
          <w:b/>
          <w:bCs/>
          <w:color w:val="FF0000"/>
          <w:sz w:val="20"/>
        </w:rPr>
      </w:pPr>
    </w:p>
    <w:p w:rsidR="007F308B" w:rsidRPr="008A1BAF" w:rsidRDefault="007F308B" w:rsidP="007F308B">
      <w:pPr>
        <w:autoSpaceDE w:val="0"/>
        <w:autoSpaceDN w:val="0"/>
        <w:adjustRightInd w:val="0"/>
        <w:rPr>
          <w:rFonts w:ascii="TimesNewRoman" w:hAnsi="TimesNewRoman" w:cs="TimesNewRoman"/>
          <w:color w:val="FF0000"/>
          <w:sz w:val="20"/>
        </w:rPr>
      </w:pPr>
      <w:r w:rsidRPr="008A1BAF">
        <w:rPr>
          <w:rFonts w:ascii="TimesNewRoman,Bold" w:hAnsi="TimesNewRoman,Bold" w:cs="TimesNewRoman,Bold"/>
          <w:b/>
          <w:bCs/>
          <w:color w:val="FF0000"/>
          <w:sz w:val="20"/>
        </w:rPr>
        <w:t xml:space="preserve">2407.1.1 Loads. </w:t>
      </w:r>
      <w:r w:rsidRPr="008A1BAF">
        <w:rPr>
          <w:rFonts w:ascii="TimesNewRoman" w:hAnsi="TimesNewRoman" w:cs="TimesNewRoman"/>
          <w:color w:val="FF0000"/>
          <w:sz w:val="20"/>
        </w:rPr>
        <w:t>The panels and their support system shall be designed to withstand the loads specified in Section 1607.8</w:t>
      </w:r>
      <w:r w:rsidRPr="008A1BAF">
        <w:rPr>
          <w:rFonts w:ascii="TimesNewRoman" w:hAnsi="TimesNewRoman" w:cs="TimesNewRoman"/>
          <w:strike/>
          <w:color w:val="FF0000"/>
          <w:sz w:val="20"/>
        </w:rPr>
        <w:t>. A design factor of four shall be used for safety</w:t>
      </w:r>
      <w:r w:rsidRPr="008A1BAF">
        <w:rPr>
          <w:rFonts w:ascii="TimesNewRoman" w:hAnsi="TimesNewRoman" w:cs="TimesNewRoman"/>
          <w:color w:val="FF0000"/>
          <w:sz w:val="20"/>
          <w:u w:val="single"/>
        </w:rPr>
        <w:t>, using a factor of safety of four</w:t>
      </w:r>
      <w:r w:rsidRPr="008A1BAF">
        <w:rPr>
          <w:rFonts w:ascii="TimesNewRoman" w:hAnsi="TimesNewRoman" w:cs="TimesNewRoman"/>
          <w:color w:val="FF0000"/>
          <w:sz w:val="20"/>
        </w:rPr>
        <w:t>.</w:t>
      </w:r>
    </w:p>
    <w:p w:rsidR="007F308B" w:rsidRPr="008A1BAF" w:rsidRDefault="007F308B" w:rsidP="007F308B">
      <w:pPr>
        <w:autoSpaceDE w:val="0"/>
        <w:autoSpaceDN w:val="0"/>
        <w:adjustRightInd w:val="0"/>
        <w:rPr>
          <w:rFonts w:ascii="TimesNewRoman" w:hAnsi="TimesNewRoman" w:cs="TimesNewRoman"/>
          <w:color w:val="FF0000"/>
          <w:sz w:val="20"/>
        </w:rPr>
      </w:pPr>
    </w:p>
    <w:p w:rsidR="007F308B" w:rsidRPr="008A1BAF" w:rsidRDefault="007F308B" w:rsidP="007F308B">
      <w:pPr>
        <w:autoSpaceDE w:val="0"/>
        <w:autoSpaceDN w:val="0"/>
        <w:adjustRightInd w:val="0"/>
        <w:rPr>
          <w:rFonts w:ascii="TimesNewRoman" w:hAnsi="TimesNewRoman" w:cs="TimesNewRoman"/>
          <w:color w:val="FF0000"/>
          <w:sz w:val="20"/>
        </w:rPr>
      </w:pPr>
      <w:r w:rsidRPr="008A1BAF">
        <w:rPr>
          <w:rFonts w:ascii="TimesNewRoman,Bold" w:hAnsi="TimesNewRoman,Bold" w:cs="TimesNewRoman,Bold"/>
          <w:b/>
          <w:bCs/>
          <w:strike/>
          <w:color w:val="FF0000"/>
          <w:sz w:val="20"/>
        </w:rPr>
        <w:t xml:space="preserve">2407.1.2 Support. </w:t>
      </w:r>
      <w:r w:rsidRPr="008A1BAF">
        <w:rPr>
          <w:rFonts w:ascii="TimesNewRoman" w:hAnsi="TimesNewRoman" w:cs="TimesNewRoman"/>
          <w:strike/>
          <w:color w:val="FF0000"/>
          <w:sz w:val="20"/>
        </w:rPr>
        <w:t xml:space="preserve">Each handrail or </w:t>
      </w:r>
      <w:r w:rsidRPr="008A1BAF">
        <w:rPr>
          <w:rFonts w:ascii="TimesNewRoman,Italic" w:hAnsi="TimesNewRoman,Italic" w:cs="TimesNewRoman,Italic"/>
          <w:i/>
          <w:iCs/>
          <w:strike/>
          <w:color w:val="FF0000"/>
          <w:sz w:val="20"/>
        </w:rPr>
        <w:t xml:space="preserve">guard </w:t>
      </w:r>
      <w:r w:rsidRPr="008A1BAF">
        <w:rPr>
          <w:rFonts w:ascii="TimesNewRoman" w:hAnsi="TimesNewRoman" w:cs="TimesNewRoman"/>
          <w:strike/>
          <w:color w:val="FF0000"/>
          <w:sz w:val="20"/>
        </w:rPr>
        <w:t xml:space="preserve">section shall be supported by a minimum of three glass balusters or shall be otherwise supported to remain in place should one baluster panel fail. Glass balusters shall not be installed without an attached handrail or </w:t>
      </w:r>
      <w:r w:rsidRPr="008A1BAF">
        <w:rPr>
          <w:rFonts w:ascii="TimesNewRoman,Italic" w:hAnsi="TimesNewRoman,Italic" w:cs="TimesNewRoman,Italic"/>
          <w:i/>
          <w:iCs/>
          <w:strike/>
          <w:color w:val="FF0000"/>
          <w:sz w:val="20"/>
        </w:rPr>
        <w:t>guard</w:t>
      </w:r>
      <w:r w:rsidRPr="008A1BAF">
        <w:rPr>
          <w:rFonts w:ascii="TimesNewRoman" w:hAnsi="TimesNewRoman" w:cs="TimesNewRoman"/>
          <w:strike/>
          <w:color w:val="FF0000"/>
          <w:sz w:val="20"/>
        </w:rPr>
        <w:t>.</w:t>
      </w:r>
      <w:r w:rsidRPr="008A1BAF">
        <w:rPr>
          <w:rFonts w:ascii="TimesNewRoman" w:hAnsi="TimesNewRoman" w:cs="TimesNewRoman"/>
          <w:color w:val="FF0000"/>
          <w:sz w:val="20"/>
        </w:rPr>
        <w:t xml:space="preserve"> </w:t>
      </w:r>
    </w:p>
    <w:p w:rsidR="007F308B" w:rsidRPr="008A1BAF" w:rsidRDefault="007F308B" w:rsidP="007F308B">
      <w:pPr>
        <w:autoSpaceDE w:val="0"/>
        <w:autoSpaceDN w:val="0"/>
        <w:adjustRightInd w:val="0"/>
        <w:rPr>
          <w:rFonts w:ascii="TimesNewRoman" w:hAnsi="TimesNewRoman" w:cs="TimesNewRoman"/>
          <w:color w:val="FF0000"/>
          <w:sz w:val="20"/>
        </w:rPr>
      </w:pPr>
    </w:p>
    <w:p w:rsidR="007F308B" w:rsidRPr="008A1BAF" w:rsidRDefault="007F308B" w:rsidP="007F308B">
      <w:pPr>
        <w:autoSpaceDE w:val="0"/>
        <w:autoSpaceDN w:val="0"/>
        <w:adjustRightInd w:val="0"/>
        <w:rPr>
          <w:rFonts w:ascii="TimesNewRoman" w:hAnsi="TimesNewRoman" w:cs="TimesNewRoman"/>
          <w:strike/>
          <w:color w:val="FF0000"/>
          <w:sz w:val="20"/>
        </w:rPr>
      </w:pPr>
      <w:r w:rsidRPr="008A1BAF">
        <w:rPr>
          <w:rFonts w:ascii="TimesNewRoman,Bold" w:hAnsi="TimesNewRoman,Bold" w:cs="TimesNewRoman,Bold"/>
          <w:b/>
          <w:bCs/>
          <w:strike/>
          <w:color w:val="FF0000"/>
          <w:sz w:val="20"/>
        </w:rPr>
        <w:t xml:space="preserve">Exception: </w:t>
      </w:r>
      <w:r w:rsidRPr="008A1BAF">
        <w:rPr>
          <w:rFonts w:ascii="TimesNewRoman" w:hAnsi="TimesNewRoman" w:cs="TimesNewRoman"/>
          <w:strike/>
          <w:color w:val="FF0000"/>
          <w:sz w:val="20"/>
        </w:rPr>
        <w:t xml:space="preserve">A top rail shall not be required where the glass balusters are laminated glass with two or more glass plies of equal thickness and the same glass type when </w:t>
      </w:r>
      <w:r w:rsidRPr="008A1BAF">
        <w:rPr>
          <w:rFonts w:ascii="TimesNewRoman,Italic" w:hAnsi="TimesNewRoman,Italic" w:cs="TimesNewRoman,Italic"/>
          <w:i/>
          <w:iCs/>
          <w:strike/>
          <w:color w:val="FF0000"/>
          <w:sz w:val="20"/>
        </w:rPr>
        <w:t xml:space="preserve">approved </w:t>
      </w:r>
      <w:r w:rsidRPr="008A1BAF">
        <w:rPr>
          <w:rFonts w:ascii="TimesNewRoman" w:hAnsi="TimesNewRoman" w:cs="TimesNewRoman"/>
          <w:strike/>
          <w:color w:val="FF0000"/>
          <w:sz w:val="20"/>
        </w:rPr>
        <w:t xml:space="preserve">by the </w:t>
      </w:r>
      <w:r w:rsidRPr="008A1BAF">
        <w:rPr>
          <w:rFonts w:ascii="TimesNewRoman,Italic" w:hAnsi="TimesNewRoman,Italic" w:cs="TimesNewRoman,Italic"/>
          <w:i/>
          <w:iCs/>
          <w:strike/>
          <w:color w:val="FF0000"/>
          <w:sz w:val="20"/>
        </w:rPr>
        <w:t>building official</w:t>
      </w:r>
      <w:r w:rsidRPr="008A1BAF">
        <w:rPr>
          <w:rFonts w:ascii="TimesNewRoman" w:hAnsi="TimesNewRoman" w:cs="TimesNewRoman"/>
          <w:strike/>
          <w:color w:val="FF0000"/>
          <w:sz w:val="20"/>
        </w:rPr>
        <w:t>. The panels shall be designed to withstand the loads specified in Section 1607.8.</w:t>
      </w:r>
    </w:p>
    <w:p w:rsidR="007F308B" w:rsidRPr="008A1BAF" w:rsidRDefault="007F308B" w:rsidP="007F308B">
      <w:pPr>
        <w:autoSpaceDE w:val="0"/>
        <w:autoSpaceDN w:val="0"/>
        <w:adjustRightInd w:val="0"/>
        <w:rPr>
          <w:rFonts w:ascii="TimesNewRoman" w:hAnsi="TimesNewRoman" w:cs="TimesNewRoman"/>
          <w:color w:val="FF0000"/>
          <w:sz w:val="20"/>
        </w:rPr>
      </w:pPr>
    </w:p>
    <w:p w:rsidR="007F308B" w:rsidRPr="008A1BAF" w:rsidRDefault="007F308B" w:rsidP="007F308B">
      <w:pPr>
        <w:rPr>
          <w:color w:val="FF0000"/>
          <w:u w:val="single"/>
        </w:rPr>
      </w:pPr>
      <w:r w:rsidRPr="008A1BAF">
        <w:rPr>
          <w:b/>
          <w:bCs/>
          <w:color w:val="FF0000"/>
          <w:u w:val="single"/>
        </w:rPr>
        <w:t>2407.1.2 Structural glass baluster panels.</w:t>
      </w:r>
      <w:r w:rsidRPr="008A1BAF">
        <w:rPr>
          <w:color w:val="FF0000"/>
          <w:u w:val="single"/>
        </w:rPr>
        <w:t xml:space="preserve">  Guards with structural glass baluster panels shall be installed with an attached top rail or handrail. The top rail or handrail shall be supported by a minimum of three glass baluster panels, or shall be otherwise supported to remain in place should one glass baluster panel fail.</w:t>
      </w:r>
    </w:p>
    <w:p w:rsidR="00D579A9" w:rsidRPr="008A1BAF" w:rsidRDefault="007F308B" w:rsidP="007F308B">
      <w:pPr>
        <w:autoSpaceDE w:val="0"/>
        <w:autoSpaceDN w:val="0"/>
        <w:adjustRightInd w:val="0"/>
        <w:rPr>
          <w:rFonts w:ascii="TimesNewRoman" w:hAnsi="TimesNewRoman" w:cs="TimesNewRoman"/>
          <w:color w:val="FF0000"/>
          <w:sz w:val="20"/>
        </w:rPr>
      </w:pPr>
      <w:r w:rsidRPr="008A1BAF">
        <w:rPr>
          <w:b/>
          <w:bCs/>
          <w:color w:val="FF0000"/>
          <w:u w:val="single"/>
        </w:rPr>
        <w:t xml:space="preserve">Exception: </w:t>
      </w:r>
      <w:r w:rsidRPr="008A1BAF">
        <w:rPr>
          <w:color w:val="FF0000"/>
          <w:u w:val="single"/>
        </w:rPr>
        <w:t>An attached top rail or handrail is not required where the glass baluster panels are laminated glass with two or more glass plies of equal thickness and of the same glass type.</w:t>
      </w:r>
    </w:p>
    <w:p w:rsidR="007F308B" w:rsidRPr="007F308B" w:rsidRDefault="007F308B" w:rsidP="007F308B">
      <w:pPr>
        <w:autoSpaceDE w:val="0"/>
        <w:autoSpaceDN w:val="0"/>
        <w:adjustRightInd w:val="0"/>
        <w:rPr>
          <w:rFonts w:ascii="TimesNewRoman" w:hAnsi="TimesNewRoman" w:cs="TimesNewRoman"/>
          <w:sz w:val="20"/>
        </w:rPr>
      </w:pPr>
    </w:p>
    <w:p w:rsidR="009B169E" w:rsidRDefault="00FB746A" w:rsidP="002807BE">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2807BE" w:rsidRDefault="002807BE" w:rsidP="002807BE">
      <w:pPr>
        <w:autoSpaceDE w:val="0"/>
        <w:autoSpaceDN w:val="0"/>
        <w:adjustRightInd w:val="0"/>
        <w:rPr>
          <w:rFonts w:ascii="NimbusSanL-Bold" w:eastAsiaTheme="minorHAnsi" w:hAnsi="NimbusSanL-Bold" w:cs="NimbusSanL-Bold"/>
          <w:b/>
          <w:bCs/>
          <w:sz w:val="25"/>
          <w:szCs w:val="25"/>
        </w:rPr>
      </w:pPr>
    </w:p>
    <w:p w:rsidR="007F308B" w:rsidRPr="008A1BAF" w:rsidRDefault="008A1BAF" w:rsidP="007F308B">
      <w:pPr>
        <w:autoSpaceDE w:val="0"/>
        <w:autoSpaceDN w:val="0"/>
        <w:adjustRightInd w:val="0"/>
        <w:rPr>
          <w:color w:val="FF0000"/>
        </w:rPr>
      </w:pPr>
      <w:r w:rsidRPr="008A1BAF">
        <w:rPr>
          <w:b/>
          <w:color w:val="FF0000"/>
        </w:rPr>
        <w:t>Reason</w:t>
      </w:r>
      <w:r w:rsidRPr="008A1BAF">
        <w:rPr>
          <w:color w:val="FF0000"/>
        </w:rPr>
        <w:t xml:space="preserve">:  This </w:t>
      </w:r>
      <w:r w:rsidR="007F308B" w:rsidRPr="008A1BAF">
        <w:rPr>
          <w:color w:val="FF0000"/>
        </w:rPr>
        <w:t>proposal will clarify and align the Washington State code requirements for glass panels that are used as a structural component in a guard.  Imperfections in glass can cause the panel to fail at loads that are well below its nominal resistance value.  We believe the intent of the IBC requirements is to have something (a top rail or a handrail at stairs) to provide some additional fall protection for a person leaning on the guard, should a glass panel fail.  Having a handrail attached to at least 3 panels also provides some backup support if a panel fails while someone is grabbing the handrail to prevent a fall.   However, there is an exception that allows glass-only guards (without an attached top rail or handrail) if the balusters are laminated glass.  The laminated glass provides some backup against total panel failure, but note that the entire glass baluster still has to be designed to be able to support the full loads for guards, as specified in Section 2407.1.1, including using a factor of safety of 4.</w:t>
      </w:r>
    </w:p>
    <w:p w:rsidR="007F308B" w:rsidRPr="008A1BAF" w:rsidRDefault="007F308B" w:rsidP="007F308B">
      <w:pPr>
        <w:autoSpaceDE w:val="0"/>
        <w:autoSpaceDN w:val="0"/>
        <w:adjustRightInd w:val="0"/>
        <w:rPr>
          <w:color w:val="FF0000"/>
        </w:rPr>
      </w:pPr>
    </w:p>
    <w:p w:rsidR="007F308B" w:rsidRPr="008A1BAF" w:rsidRDefault="007F308B" w:rsidP="007F308B">
      <w:pPr>
        <w:autoSpaceDE w:val="0"/>
        <w:autoSpaceDN w:val="0"/>
        <w:adjustRightInd w:val="0"/>
        <w:rPr>
          <w:color w:val="FF0000"/>
        </w:rPr>
      </w:pPr>
      <w:r w:rsidRPr="008A1BAF">
        <w:rPr>
          <w:color w:val="FF0000"/>
        </w:rPr>
        <w:t>The change in Section 2407.1.1 is proposed because “factor of safety” is a term that is understood by the engineers who will be doing the design. “Design factor…for safety” has no meaning.</w:t>
      </w:r>
    </w:p>
    <w:p w:rsidR="007F308B" w:rsidRPr="008A1BAF" w:rsidRDefault="007F308B" w:rsidP="007F308B">
      <w:pPr>
        <w:autoSpaceDE w:val="0"/>
        <w:autoSpaceDN w:val="0"/>
        <w:adjustRightInd w:val="0"/>
        <w:rPr>
          <w:color w:val="FF0000"/>
        </w:rPr>
      </w:pPr>
    </w:p>
    <w:p w:rsidR="007F308B" w:rsidRPr="008A1BAF" w:rsidRDefault="007F308B" w:rsidP="007F308B">
      <w:pPr>
        <w:autoSpaceDE w:val="0"/>
        <w:autoSpaceDN w:val="0"/>
        <w:adjustRightInd w:val="0"/>
        <w:rPr>
          <w:color w:val="FF0000"/>
        </w:rPr>
      </w:pPr>
      <w:r w:rsidRPr="008A1BAF">
        <w:rPr>
          <w:color w:val="FF0000"/>
        </w:rPr>
        <w:t>The requirement regarding design loading in the original exception to Section 2407.1.2 has not been carried forward, because the requirement is covered in Section 2407.1.1.</w:t>
      </w:r>
    </w:p>
    <w:p w:rsidR="007F308B" w:rsidRPr="008A1BAF" w:rsidRDefault="007F308B" w:rsidP="007F308B">
      <w:pPr>
        <w:autoSpaceDE w:val="0"/>
        <w:autoSpaceDN w:val="0"/>
        <w:adjustRightInd w:val="0"/>
        <w:rPr>
          <w:color w:val="FF0000"/>
        </w:rPr>
      </w:pPr>
    </w:p>
    <w:p w:rsidR="007F308B" w:rsidRPr="008A1BAF" w:rsidRDefault="007F308B" w:rsidP="007F308B">
      <w:pPr>
        <w:autoSpaceDE w:val="0"/>
        <w:autoSpaceDN w:val="0"/>
        <w:adjustRightInd w:val="0"/>
        <w:rPr>
          <w:color w:val="FF0000"/>
        </w:rPr>
      </w:pPr>
      <w:r w:rsidRPr="008A1BAF">
        <w:rPr>
          <w:color w:val="FF0000"/>
        </w:rPr>
        <w:t>The restriction on use of the exception to “when approved by the building official” has been deleted because there is no guidance or criteria as to when it would or would not be approved.</w:t>
      </w:r>
    </w:p>
    <w:p w:rsidR="00C908F6" w:rsidRDefault="00C908F6" w:rsidP="003753C7">
      <w:pPr>
        <w:autoSpaceDE w:val="0"/>
        <w:autoSpaceDN w:val="0"/>
        <w:adjustRightInd w:val="0"/>
        <w:rPr>
          <w:rFonts w:ascii="NimbusSanL-Regu" w:eastAsiaTheme="minorHAnsi" w:hAnsi="NimbusSanL-Regu" w:cs="NimbusSanL-Regu"/>
          <w:sz w:val="25"/>
          <w:szCs w:val="25"/>
        </w:rPr>
      </w:pPr>
    </w:p>
    <w:p w:rsidR="002807BE" w:rsidRDefault="002807BE" w:rsidP="002807BE">
      <w:pPr>
        <w:autoSpaceDE w:val="0"/>
        <w:autoSpaceDN w:val="0"/>
        <w:adjustRightInd w:val="0"/>
        <w:rPr>
          <w:rFonts w:ascii="NimbusSanL-Regu" w:eastAsiaTheme="minorHAnsi" w:hAnsi="NimbusSanL-Regu" w:cs="NimbusSanL-Regu"/>
          <w:sz w:val="25"/>
          <w:szCs w:val="25"/>
        </w:rPr>
      </w:pPr>
    </w:p>
    <w:p w:rsidR="002807BE" w:rsidRDefault="002807BE" w:rsidP="002807BE">
      <w:pPr>
        <w:autoSpaceDE w:val="0"/>
        <w:autoSpaceDN w:val="0"/>
        <w:adjustRightInd w:val="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C908F6"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1"/>
            </w:checkBox>
          </w:ffData>
        </w:fldChar>
      </w:r>
      <w:bookmarkStart w:id="1" w:name="Check27"/>
      <w:r>
        <w:rPr>
          <w:rFonts w:ascii="Times New Roman" w:hAnsi="Times New Roman"/>
          <w:sz w:val="24"/>
          <w:szCs w:val="24"/>
        </w:rPr>
        <w:instrText xml:space="preserve"> FORMCHECKBOX </w:instrText>
      </w:r>
      <w:r w:rsidR="001A2D31">
        <w:rPr>
          <w:rFonts w:ascii="Times New Roman" w:hAnsi="Times New Roman"/>
          <w:sz w:val="24"/>
          <w:szCs w:val="24"/>
        </w:rPr>
      </w:r>
      <w:r w:rsidR="001A2D31">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83494E"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1A2D31">
        <w:rPr>
          <w:rFonts w:ascii="Times New Roman" w:hAnsi="Times New Roman"/>
          <w:sz w:val="24"/>
          <w:szCs w:val="24"/>
        </w:rPr>
      </w:r>
      <w:r w:rsidR="001A2D31">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1A2D31">
        <w:rPr>
          <w:rFonts w:ascii="Times New Roman" w:hAnsi="Times New Roman"/>
          <w:sz w:val="24"/>
          <w:szCs w:val="24"/>
        </w:rPr>
      </w:r>
      <w:r w:rsidR="001A2D3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1A2D31">
        <w:rPr>
          <w:rFonts w:ascii="Times New Roman" w:hAnsi="Times New Roman"/>
          <w:sz w:val="24"/>
          <w:szCs w:val="24"/>
        </w:rPr>
      </w:r>
      <w:r w:rsidR="001A2D31">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C908F6" w:rsidP="00B75D4C">
      <w:pPr>
        <w:tabs>
          <w:tab w:val="left" w:pos="-720"/>
          <w:tab w:val="left" w:pos="0"/>
          <w:tab w:val="left" w:pos="720"/>
        </w:tabs>
        <w:ind w:left="1080"/>
        <w:rPr>
          <w:rFonts w:ascii="Times New Roman" w:hAnsi="Times New Roman"/>
          <w:szCs w:val="24"/>
        </w:rPr>
      </w:pPr>
      <w:r>
        <w:rPr>
          <w:rFonts w:ascii="Times New Roman" w:hAnsi="Times New Roman"/>
          <w:szCs w:val="24"/>
        </w:rPr>
        <w:fldChar w:fldCharType="begin">
          <w:ffData>
            <w:name w:val=""/>
            <w:enabled/>
            <w:calcOnExit w:val="0"/>
            <w:checkBox>
              <w:sizeAuto/>
              <w:default w:val="1"/>
            </w:checkBox>
          </w:ffData>
        </w:fldChar>
      </w:r>
      <w:r>
        <w:rPr>
          <w:rFonts w:ascii="Times New Roman" w:hAnsi="Times New Roman"/>
          <w:szCs w:val="24"/>
        </w:rPr>
        <w:instrText xml:space="preserve"> FORMCHECKBOX </w:instrText>
      </w:r>
      <w:r w:rsidR="001A2D31">
        <w:rPr>
          <w:rFonts w:ascii="Times New Roman" w:hAnsi="Times New Roman"/>
          <w:szCs w:val="24"/>
        </w:rPr>
      </w:r>
      <w:r w:rsidR="001A2D31">
        <w:rPr>
          <w:rFonts w:ascii="Times New Roman" w:hAnsi="Times New Roman"/>
          <w:szCs w:val="24"/>
        </w:rPr>
        <w:fldChar w:fldCharType="separate"/>
      </w:r>
      <w:r>
        <w:rPr>
          <w:rFonts w:ascii="Times New Roman" w:hAnsi="Times New Roman"/>
          <w:szCs w:val="24"/>
        </w:rPr>
        <w:fldChar w:fldCharType="end"/>
      </w:r>
      <w:r w:rsidR="00B75D4C" w:rsidRPr="0087578E">
        <w:rPr>
          <w:rFonts w:ascii="Times New Roman" w:hAnsi="Times New Roman"/>
          <w:szCs w:val="24"/>
        </w:rPr>
        <w:t xml:space="preserve">  The amendment corrects errors and omissions.</w:t>
      </w:r>
    </w:p>
    <w:p w:rsidR="00627A01" w:rsidRDefault="00627A01" w:rsidP="00552BDC">
      <w:pPr>
        <w:ind w:left="360"/>
        <w:rPr>
          <w:rFonts w:ascii="Times New Roman" w:hAnsi="Times New Roman"/>
          <w:b/>
          <w:szCs w:val="24"/>
        </w:rPr>
      </w:pPr>
    </w:p>
    <w:p w:rsidR="0083494E" w:rsidRDefault="0083494E" w:rsidP="00552BDC">
      <w:pPr>
        <w:ind w:left="360"/>
        <w:rPr>
          <w:rFonts w:ascii="Times New Roman" w:hAnsi="Times New Roman"/>
          <w:b/>
          <w:szCs w:val="24"/>
        </w:rPr>
      </w:pPr>
    </w:p>
    <w:p w:rsidR="0083494E" w:rsidRPr="00552BDC" w:rsidRDefault="0083494E" w:rsidP="00BF3676">
      <w:pPr>
        <w:rPr>
          <w:rFonts w:ascii="Times New Roman" w:hAnsi="Times New Roman"/>
          <w:b/>
          <w:szCs w:val="24"/>
        </w:rPr>
      </w:pPr>
    </w:p>
    <w:p w:rsidR="00873296" w:rsidRPr="002807B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8A0D32">
        <w:rPr>
          <w:rFonts w:ascii="Times New Roman" w:hAnsi="Times New Roman"/>
          <w:szCs w:val="24"/>
        </w:rPr>
        <w:fldChar w:fldCharType="begin">
          <w:ffData>
            <w:name w:val=""/>
            <w:enabled/>
            <w:calcOnExit w:val="0"/>
            <w:checkBox>
              <w:sizeAuto/>
              <w:default w:val="0"/>
            </w:checkBox>
          </w:ffData>
        </w:fldChar>
      </w:r>
      <w:r w:rsidR="008A0D32">
        <w:rPr>
          <w:rFonts w:ascii="Times New Roman" w:hAnsi="Times New Roman"/>
          <w:szCs w:val="24"/>
        </w:rPr>
        <w:instrText xml:space="preserve"> FORMCHECKBOX </w:instrText>
      </w:r>
      <w:r w:rsidR="001A2D31">
        <w:rPr>
          <w:rFonts w:ascii="Times New Roman" w:hAnsi="Times New Roman"/>
          <w:szCs w:val="24"/>
        </w:rPr>
      </w:r>
      <w:r w:rsidR="001A2D31">
        <w:rPr>
          <w:rFonts w:ascii="Times New Roman" w:hAnsi="Times New Roman"/>
          <w:szCs w:val="24"/>
        </w:rPr>
        <w:fldChar w:fldCharType="separate"/>
      </w:r>
      <w:r w:rsidR="008A0D32">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A0D32">
        <w:rPr>
          <w:rFonts w:ascii="Times New Roman" w:hAnsi="Times New Roman"/>
          <w:szCs w:val="24"/>
        </w:rPr>
        <w:fldChar w:fldCharType="begin">
          <w:ffData>
            <w:name w:val=""/>
            <w:enabled/>
            <w:calcOnExit w:val="0"/>
            <w:checkBox>
              <w:sizeAuto/>
              <w:default w:val="1"/>
            </w:checkBox>
          </w:ffData>
        </w:fldChar>
      </w:r>
      <w:r w:rsidR="008A0D32">
        <w:rPr>
          <w:rFonts w:ascii="Times New Roman" w:hAnsi="Times New Roman"/>
          <w:szCs w:val="24"/>
        </w:rPr>
        <w:instrText xml:space="preserve"> FORMCHECKBOX </w:instrText>
      </w:r>
      <w:r w:rsidR="001A2D31">
        <w:rPr>
          <w:rFonts w:ascii="Times New Roman" w:hAnsi="Times New Roman"/>
          <w:szCs w:val="24"/>
        </w:rPr>
      </w:r>
      <w:r w:rsidR="001A2D31">
        <w:rPr>
          <w:rFonts w:ascii="Times New Roman" w:hAnsi="Times New Roman"/>
          <w:szCs w:val="24"/>
        </w:rPr>
        <w:fldChar w:fldCharType="separate"/>
      </w:r>
      <w:r w:rsidR="008A0D32">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2807BE" w:rsidRPr="002807BE" w:rsidRDefault="002807BE" w:rsidP="002807BE">
      <w:pPr>
        <w:rPr>
          <w:rFonts w:ascii="Times New Roman" w:hAnsi="Times New Roman"/>
          <w:b/>
          <w:szCs w:val="24"/>
        </w:rPr>
      </w:pPr>
    </w:p>
    <w:p w:rsidR="00D803CC" w:rsidRDefault="00873296" w:rsidP="002807BE">
      <w:pPr>
        <w:ind w:left="720"/>
        <w:rPr>
          <w:rFonts w:ascii="Times New Roman" w:hAnsi="Times New Roman"/>
          <w:szCs w:val="24"/>
        </w:rPr>
      </w:pPr>
      <w:r w:rsidRPr="0087578E">
        <w:rPr>
          <w:rFonts w:ascii="Times New Roman" w:hAnsi="Times New Roman"/>
          <w:szCs w:val="24"/>
        </w:rPr>
        <w:t xml:space="preserve">Explain: </w:t>
      </w:r>
      <w:r w:rsidR="006E63C7">
        <w:rPr>
          <w:rFonts w:ascii="Times New Roman" w:hAnsi="Times New Roman"/>
          <w:szCs w:val="24"/>
        </w:rPr>
        <w:t xml:space="preserve"> </w:t>
      </w:r>
    </w:p>
    <w:p w:rsidR="00873296" w:rsidRDefault="003753C7" w:rsidP="00E16D5E">
      <w:pPr>
        <w:ind w:left="720"/>
        <w:rPr>
          <w:rFonts w:ascii="Times New Roman" w:hAnsi="Times New Roman"/>
          <w:szCs w:val="24"/>
        </w:rPr>
      </w:pPr>
      <w:r>
        <w:rPr>
          <w:rFonts w:ascii="Times New Roman" w:hAnsi="Times New Roman"/>
          <w:szCs w:val="24"/>
        </w:rPr>
        <w:t xml:space="preserve">This is a code clarification only and should not impact the cost of construction.  </w:t>
      </w:r>
    </w:p>
    <w:p w:rsidR="00D579A9" w:rsidRPr="0087578E" w:rsidRDefault="00D579A9"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440"/>
        <w:gridCol w:w="1350"/>
        <w:gridCol w:w="1440"/>
        <w:gridCol w:w="1530"/>
        <w:gridCol w:w="1530"/>
        <w:gridCol w:w="1710"/>
      </w:tblGrid>
      <w:tr w:rsidR="00E720B3" w:rsidRPr="0033146D" w:rsidTr="008A0D32">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9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297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8A0D32">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83494E" w:rsidP="009B75F2">
            <w:pPr>
              <w:tabs>
                <w:tab w:val="left" w:pos="4320"/>
              </w:tabs>
              <w:ind w:right="-1440"/>
              <w:rPr>
                <w:rFonts w:ascii="Times New Roman" w:hAnsi="Times New Roman"/>
                <w:szCs w:val="24"/>
                <w:vertAlign w:val="superscript"/>
              </w:rPr>
            </w:pPr>
            <w:r>
              <w:rPr>
                <w:rFonts w:ascii="Times New Roman" w:hAnsi="Times New Roman"/>
                <w:szCs w:val="24"/>
              </w:rPr>
              <w:t>Cost/DU</w:t>
            </w:r>
          </w:p>
        </w:tc>
        <w:tc>
          <w:tcPr>
            <w:tcW w:w="144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C908F6">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8A0D32">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44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44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50" w:rsidRDefault="00A91B50" w:rsidP="00110F55">
      <w:r>
        <w:separator/>
      </w:r>
    </w:p>
  </w:endnote>
  <w:endnote w:type="continuationSeparator" w:id="0">
    <w:p w:rsidR="00A91B50" w:rsidRDefault="00A91B50"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NimbusSanL-Bold">
    <w:panose1 w:val="00000000000000000000"/>
    <w:charset w:val="00"/>
    <w:family w:val="auto"/>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1A2D31">
      <w:rPr>
        <w:noProof/>
        <w:sz w:val="18"/>
        <w:szCs w:val="18"/>
      </w:rPr>
      <w:t>March 2,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1A2D31">
      <w:rPr>
        <w:noProof/>
        <w:sz w:val="18"/>
        <w:szCs w:val="18"/>
      </w:rPr>
      <w:t>March 2,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50" w:rsidRDefault="00A91B50" w:rsidP="00110F55">
      <w:r>
        <w:separator/>
      </w:r>
    </w:p>
  </w:footnote>
  <w:footnote w:type="continuationSeparator" w:id="0">
    <w:p w:rsidR="00A91B50" w:rsidRDefault="00A91B50"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F53B4"/>
    <w:rsid w:val="000F721F"/>
    <w:rsid w:val="00110F55"/>
    <w:rsid w:val="00133212"/>
    <w:rsid w:val="0016341B"/>
    <w:rsid w:val="00173850"/>
    <w:rsid w:val="00180891"/>
    <w:rsid w:val="001A2D31"/>
    <w:rsid w:val="001C0D81"/>
    <w:rsid w:val="001D4EC7"/>
    <w:rsid w:val="001E456B"/>
    <w:rsid w:val="002020FC"/>
    <w:rsid w:val="002045A6"/>
    <w:rsid w:val="0020492D"/>
    <w:rsid w:val="00211AD1"/>
    <w:rsid w:val="00227B70"/>
    <w:rsid w:val="002365DA"/>
    <w:rsid w:val="00243532"/>
    <w:rsid w:val="002545F1"/>
    <w:rsid w:val="00256274"/>
    <w:rsid w:val="002807BE"/>
    <w:rsid w:val="0029621B"/>
    <w:rsid w:val="002A15CB"/>
    <w:rsid w:val="002E7439"/>
    <w:rsid w:val="002F26F5"/>
    <w:rsid w:val="002F6438"/>
    <w:rsid w:val="00300162"/>
    <w:rsid w:val="00313FF3"/>
    <w:rsid w:val="00320225"/>
    <w:rsid w:val="0033146D"/>
    <w:rsid w:val="003473BF"/>
    <w:rsid w:val="003753C7"/>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311ED"/>
    <w:rsid w:val="0043169D"/>
    <w:rsid w:val="004A172E"/>
    <w:rsid w:val="004A786B"/>
    <w:rsid w:val="004B0207"/>
    <w:rsid w:val="004B5701"/>
    <w:rsid w:val="004C5BFC"/>
    <w:rsid w:val="004D417F"/>
    <w:rsid w:val="004E087B"/>
    <w:rsid w:val="00502C30"/>
    <w:rsid w:val="00514761"/>
    <w:rsid w:val="00523321"/>
    <w:rsid w:val="005400B0"/>
    <w:rsid w:val="005471E3"/>
    <w:rsid w:val="00552BDC"/>
    <w:rsid w:val="00586A99"/>
    <w:rsid w:val="00603175"/>
    <w:rsid w:val="006223A8"/>
    <w:rsid w:val="00627A01"/>
    <w:rsid w:val="006309FD"/>
    <w:rsid w:val="0063479B"/>
    <w:rsid w:val="006607C5"/>
    <w:rsid w:val="00684BD7"/>
    <w:rsid w:val="00690B56"/>
    <w:rsid w:val="006A706F"/>
    <w:rsid w:val="006B12E1"/>
    <w:rsid w:val="006B7688"/>
    <w:rsid w:val="006B782D"/>
    <w:rsid w:val="006C5B4D"/>
    <w:rsid w:val="006D0826"/>
    <w:rsid w:val="006D08D9"/>
    <w:rsid w:val="006E63C7"/>
    <w:rsid w:val="007100B9"/>
    <w:rsid w:val="0071704D"/>
    <w:rsid w:val="0072082E"/>
    <w:rsid w:val="0072394F"/>
    <w:rsid w:val="007464D5"/>
    <w:rsid w:val="007528A9"/>
    <w:rsid w:val="00754ECC"/>
    <w:rsid w:val="00757729"/>
    <w:rsid w:val="00757FA5"/>
    <w:rsid w:val="00771BC9"/>
    <w:rsid w:val="007839BB"/>
    <w:rsid w:val="00790A22"/>
    <w:rsid w:val="007A5DC3"/>
    <w:rsid w:val="007B15AE"/>
    <w:rsid w:val="007C1CE4"/>
    <w:rsid w:val="007C7179"/>
    <w:rsid w:val="007D72F3"/>
    <w:rsid w:val="007F308B"/>
    <w:rsid w:val="007F5B2F"/>
    <w:rsid w:val="007F67BF"/>
    <w:rsid w:val="007F7C52"/>
    <w:rsid w:val="0082063B"/>
    <w:rsid w:val="008232EC"/>
    <w:rsid w:val="00824E7A"/>
    <w:rsid w:val="00833E6E"/>
    <w:rsid w:val="0083494E"/>
    <w:rsid w:val="00860844"/>
    <w:rsid w:val="008650E6"/>
    <w:rsid w:val="00867EED"/>
    <w:rsid w:val="00872C59"/>
    <w:rsid w:val="00873296"/>
    <w:rsid w:val="0087578E"/>
    <w:rsid w:val="008806BC"/>
    <w:rsid w:val="00885746"/>
    <w:rsid w:val="008A0D32"/>
    <w:rsid w:val="008A1BAF"/>
    <w:rsid w:val="00904963"/>
    <w:rsid w:val="00916C2B"/>
    <w:rsid w:val="0092653D"/>
    <w:rsid w:val="009359D1"/>
    <w:rsid w:val="0096271B"/>
    <w:rsid w:val="00965EED"/>
    <w:rsid w:val="009A5583"/>
    <w:rsid w:val="009B169E"/>
    <w:rsid w:val="009B7373"/>
    <w:rsid w:val="009B75F2"/>
    <w:rsid w:val="009E0F3E"/>
    <w:rsid w:val="009F2267"/>
    <w:rsid w:val="00A22418"/>
    <w:rsid w:val="00A91B50"/>
    <w:rsid w:val="00AA00FF"/>
    <w:rsid w:val="00AB3F11"/>
    <w:rsid w:val="00AB555C"/>
    <w:rsid w:val="00AD4800"/>
    <w:rsid w:val="00B002D8"/>
    <w:rsid w:val="00B7203D"/>
    <w:rsid w:val="00B728FF"/>
    <w:rsid w:val="00B75D4C"/>
    <w:rsid w:val="00B807BC"/>
    <w:rsid w:val="00B928C3"/>
    <w:rsid w:val="00BA1D4E"/>
    <w:rsid w:val="00BA22EC"/>
    <w:rsid w:val="00BB1D76"/>
    <w:rsid w:val="00BE1D37"/>
    <w:rsid w:val="00BE1E8B"/>
    <w:rsid w:val="00BF3676"/>
    <w:rsid w:val="00C40E7E"/>
    <w:rsid w:val="00C43DE9"/>
    <w:rsid w:val="00C7097D"/>
    <w:rsid w:val="00C74967"/>
    <w:rsid w:val="00C80605"/>
    <w:rsid w:val="00C908F6"/>
    <w:rsid w:val="00C9202B"/>
    <w:rsid w:val="00CC0D13"/>
    <w:rsid w:val="00CC1473"/>
    <w:rsid w:val="00CC1844"/>
    <w:rsid w:val="00CC3D5F"/>
    <w:rsid w:val="00CC65F9"/>
    <w:rsid w:val="00CE5E29"/>
    <w:rsid w:val="00D00EEE"/>
    <w:rsid w:val="00D17C4C"/>
    <w:rsid w:val="00D255F0"/>
    <w:rsid w:val="00D3606F"/>
    <w:rsid w:val="00D47700"/>
    <w:rsid w:val="00D579A9"/>
    <w:rsid w:val="00D65EA7"/>
    <w:rsid w:val="00D803CC"/>
    <w:rsid w:val="00D807B3"/>
    <w:rsid w:val="00D96B31"/>
    <w:rsid w:val="00D96E40"/>
    <w:rsid w:val="00DB4198"/>
    <w:rsid w:val="00DC3F1F"/>
    <w:rsid w:val="00DD24FC"/>
    <w:rsid w:val="00DF7283"/>
    <w:rsid w:val="00E16D5E"/>
    <w:rsid w:val="00E36028"/>
    <w:rsid w:val="00E4676B"/>
    <w:rsid w:val="00E720B3"/>
    <w:rsid w:val="00E72D6B"/>
    <w:rsid w:val="00E74552"/>
    <w:rsid w:val="00EA30B1"/>
    <w:rsid w:val="00EB1DAB"/>
    <w:rsid w:val="00EC001A"/>
    <w:rsid w:val="00EC75B4"/>
    <w:rsid w:val="00ED33D9"/>
    <w:rsid w:val="00F22CDB"/>
    <w:rsid w:val="00F24BA3"/>
    <w:rsid w:val="00F5555E"/>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 w:id="2136440225">
      <w:bodyDiv w:val="1"/>
      <w:marLeft w:val="0"/>
      <w:marRight w:val="0"/>
      <w:marTop w:val="0"/>
      <w:marBottom w:val="0"/>
      <w:divBdr>
        <w:top w:val="none" w:sz="0" w:space="0" w:color="auto"/>
        <w:left w:val="none" w:sz="0" w:space="0" w:color="auto"/>
        <w:bottom w:val="none" w:sz="0" w:space="0" w:color="auto"/>
        <w:right w:val="none" w:sz="0" w:space="0" w:color="auto"/>
      </w:divBdr>
      <w:divsChild>
        <w:div w:id="646208945">
          <w:marLeft w:val="0"/>
          <w:marRight w:val="0"/>
          <w:marTop w:val="0"/>
          <w:marBottom w:val="0"/>
          <w:divBdr>
            <w:top w:val="none" w:sz="0" w:space="0" w:color="auto"/>
            <w:left w:val="none" w:sz="0" w:space="0" w:color="auto"/>
            <w:bottom w:val="none" w:sz="0" w:space="0" w:color="auto"/>
            <w:right w:val="none" w:sz="0" w:space="0" w:color="auto"/>
          </w:divBdr>
          <w:divsChild>
            <w:div w:id="151795968">
              <w:marLeft w:val="0"/>
              <w:marRight w:val="0"/>
              <w:marTop w:val="0"/>
              <w:marBottom w:val="150"/>
              <w:divBdr>
                <w:top w:val="none" w:sz="0" w:space="0" w:color="auto"/>
                <w:left w:val="none" w:sz="0" w:space="0" w:color="auto"/>
                <w:bottom w:val="none" w:sz="0" w:space="0" w:color="auto"/>
                <w:right w:val="none" w:sz="0" w:space="0" w:color="auto"/>
              </w:divBdr>
            </w:div>
            <w:div w:id="1100103602">
              <w:marLeft w:val="0"/>
              <w:marRight w:val="48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2544B-2E1F-4A22-AB37-6594047F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997</Words>
  <Characters>5686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Kranz, Lee</dc:creator>
  <cp:lastModifiedBy>Bryden, Peggy (DES)</cp:lastModifiedBy>
  <cp:revision>2</cp:revision>
  <cp:lastPrinted>2015-02-11T18:18:00Z</cp:lastPrinted>
  <dcterms:created xsi:type="dcterms:W3CDTF">2015-03-02T20:34:00Z</dcterms:created>
  <dcterms:modified xsi:type="dcterms:W3CDTF">2015-03-02T20:34:00Z</dcterms:modified>
</cp:coreProperties>
</file>