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2A15CB" w:rsidP="000160A5">
      <w:pPr>
        <w:tabs>
          <w:tab w:val="left" w:pos="-720"/>
        </w:tabs>
        <w:jc w:val="center"/>
        <w:rPr>
          <w:rFonts w:ascii="Times New Roman" w:hAnsi="Times New Roman"/>
          <w:b/>
        </w:rPr>
      </w:pPr>
    </w:p>
    <w:p w:rsidR="008806BC" w:rsidRDefault="003511C8" w:rsidP="003511C8">
      <w:pPr>
        <w:tabs>
          <w:tab w:val="left" w:pos="-720"/>
        </w:tabs>
        <w:jc w:val="right"/>
        <w:rPr>
          <w:rFonts w:ascii="Times New Roman" w:hAnsi="Times New Roman"/>
        </w:rPr>
      </w:pPr>
      <w:r>
        <w:rPr>
          <w:rFonts w:ascii="Times New Roman" w:hAnsi="Times New Roman"/>
        </w:rPr>
        <w:t>15-005</w:t>
      </w:r>
      <w:bookmarkStart w:id="0" w:name="_GoBack"/>
      <w:bookmarkEnd w:id="0"/>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C9202B">
        <w:rPr>
          <w:rFonts w:ascii="Times New Roman" w:hAnsi="Times New Roman"/>
          <w:szCs w:val="24"/>
        </w:rPr>
        <w:fldChar w:fldCharType="begin">
          <w:ffData>
            <w:name w:val=""/>
            <w:enabled/>
            <w:calcOnExit w:val="0"/>
            <w:checkBox>
              <w:sizeAuto/>
              <w:default w:val="1"/>
            </w:checkBox>
          </w:ffData>
        </w:fldChar>
      </w:r>
      <w:r w:rsidR="00C9202B">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C9202B">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B807BC" w:rsidRDefault="00243532" w:rsidP="00B807BC">
      <w:r w:rsidRPr="007464D5">
        <w:rPr>
          <w:rFonts w:ascii="Times New Roman" w:hAnsi="Times New Roman"/>
          <w:b/>
          <w:szCs w:val="24"/>
        </w:rPr>
        <w:tab/>
      </w:r>
      <w:r w:rsidR="00B807BC">
        <w:t>1006.2.2.6 (New)</w:t>
      </w:r>
    </w:p>
    <w:p w:rsidR="00243532" w:rsidRPr="007464D5" w:rsidRDefault="00243532" w:rsidP="00243532">
      <w:pPr>
        <w:tabs>
          <w:tab w:val="left" w:pos="-720"/>
        </w:tabs>
        <w:rPr>
          <w:rFonts w:ascii="Times New Roman" w:hAnsi="Times New Roman"/>
          <w:szCs w:val="24"/>
        </w:rPr>
      </w:pPr>
    </w:p>
    <w:p w:rsidR="00243532" w:rsidRPr="00243532" w:rsidRDefault="00243532" w:rsidP="00243532">
      <w:pPr>
        <w:tabs>
          <w:tab w:val="left" w:pos="-720"/>
        </w:tabs>
        <w:rPr>
          <w:rFonts w:ascii="Times New Roman" w:hAnsi="Times New Roman"/>
          <w:b/>
          <w:sz w:val="20"/>
        </w:rPr>
      </w:pPr>
    </w:p>
    <w:p w:rsidR="00BB1D76" w:rsidRPr="00BF3676" w:rsidRDefault="00243532" w:rsidP="00BB1D76">
      <w:pPr>
        <w:tabs>
          <w:tab w:val="left" w:pos="-720"/>
        </w:tabs>
        <w:spacing w:before="160"/>
        <w:rPr>
          <w:rFonts w:ascii="Times New Roman" w:hAnsi="Times New Roman"/>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BF3676">
        <w:rPr>
          <w:rFonts w:ascii="Times New Roman" w:hAnsi="Times New Roman"/>
          <w:b/>
        </w:rPr>
        <w:t xml:space="preserve"> </w:t>
      </w:r>
      <w:r w:rsidR="00BF3676">
        <w:rPr>
          <w:rFonts w:ascii="Times New Roman" w:hAnsi="Times New Roman"/>
        </w:rPr>
        <w:t>Coordination with NEC on requirement for 2</w:t>
      </w:r>
      <w:r w:rsidR="00BF3676" w:rsidRPr="00BF3676">
        <w:rPr>
          <w:rFonts w:ascii="Times New Roman" w:hAnsi="Times New Roman"/>
          <w:vertAlign w:val="superscript"/>
        </w:rPr>
        <w:t>nd</w:t>
      </w:r>
      <w:r w:rsidR="00BF3676">
        <w:rPr>
          <w:rFonts w:ascii="Times New Roman" w:hAnsi="Times New Roman"/>
        </w:rPr>
        <w:t xml:space="preserve"> exit from electrical equipment rooms.</w:t>
      </w:r>
    </w:p>
    <w:p w:rsidR="00CC1473" w:rsidRDefault="004A172E" w:rsidP="00BB1D76">
      <w:pPr>
        <w:tabs>
          <w:tab w:val="left" w:pos="-720"/>
        </w:tabs>
        <w:rPr>
          <w:rFonts w:ascii="Times New Roman" w:hAnsi="Times New Roman"/>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B807BC" w:rsidRPr="00B807BC" w:rsidRDefault="004A172E" w:rsidP="00B807BC">
      <w:pPr>
        <w:tabs>
          <w:tab w:val="left" w:pos="-720"/>
        </w:tabs>
        <w:rPr>
          <w:rFonts w:ascii="Times New Roman" w:hAnsi="Times New Roman"/>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B807BC">
        <w:rPr>
          <w:rFonts w:ascii="Times New Roman" w:hAnsi="Times New Roman"/>
        </w:rPr>
        <w:t xml:space="preserve">Lee J. Kranz, </w:t>
      </w:r>
      <w:r w:rsidR="00B807BC" w:rsidRPr="00B807BC">
        <w:rPr>
          <w:rFonts w:ascii="Times New Roman" w:hAnsi="Times New Roman"/>
        </w:rPr>
        <w:t xml:space="preserve">representing </w:t>
      </w:r>
      <w:r w:rsidR="00B807BC">
        <w:rPr>
          <w:rFonts w:ascii="Times New Roman" w:hAnsi="Times New Roman"/>
        </w:rPr>
        <w:t xml:space="preserve">the </w:t>
      </w:r>
      <w:r w:rsidR="00B807BC" w:rsidRPr="00B807BC">
        <w:rPr>
          <w:rFonts w:ascii="Times New Roman" w:hAnsi="Times New Roman"/>
        </w:rPr>
        <w:t>Washington Association of Building</w:t>
      </w:r>
    </w:p>
    <w:p w:rsidR="00B807BC" w:rsidRDefault="00B807BC" w:rsidP="00B807BC">
      <w:pPr>
        <w:tabs>
          <w:tab w:val="left" w:pos="-720"/>
        </w:tabs>
        <w:rPr>
          <w:rFonts w:ascii="Times New Roman" w:hAnsi="Times New Roman"/>
        </w:rPr>
      </w:pPr>
      <w:r w:rsidRPr="00B807BC">
        <w:rPr>
          <w:rFonts w:ascii="Times New Roman" w:hAnsi="Times New Roman"/>
        </w:rPr>
        <w:t>Officials Technical Code Development Committee</w:t>
      </w:r>
    </w:p>
    <w:p w:rsidR="00243532" w:rsidRPr="00C9202B" w:rsidRDefault="00243532" w:rsidP="00243532">
      <w:pPr>
        <w:tabs>
          <w:tab w:val="left" w:pos="-720"/>
        </w:tabs>
        <w:spacing w:line="276" w:lineRule="auto"/>
        <w:rPr>
          <w:rFonts w:ascii="Times New Roman" w:hAnsi="Times New Roman"/>
        </w:rPr>
      </w:pP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BF3676">
        <w:rPr>
          <w:rFonts w:ascii="Times New Roman" w:hAnsi="Times New Roman"/>
        </w:rPr>
        <w:tab/>
      </w:r>
      <w:r w:rsidR="00BF3676">
        <w:rPr>
          <w:rFonts w:ascii="Times New Roman" w:hAnsi="Times New Roman"/>
        </w:rPr>
        <w:tab/>
        <w:t>February 11</w:t>
      </w:r>
      <w:r w:rsidR="00B807BC">
        <w:rPr>
          <w:rFonts w:ascii="Times New Roman" w:hAnsi="Times New Roman"/>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Lee J. Kranz</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9202B">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450 110</w:t>
      </w:r>
      <w:r w:rsidR="00C9202B" w:rsidRPr="00C9202B">
        <w:rPr>
          <w:rFonts w:ascii="Times New Roman" w:hAnsi="Times New Roman"/>
          <w:vertAlign w:val="superscript"/>
        </w:rPr>
        <w:t>th</w:t>
      </w:r>
      <w:r w:rsidR="00C9202B">
        <w:rPr>
          <w:rFonts w:ascii="Times New Roman" w:hAnsi="Times New Roman"/>
        </w:rPr>
        <w:t xml:space="preserve"> Ave. NE</w:t>
      </w:r>
    </w:p>
    <w:p w:rsidR="00C9202B" w:rsidRPr="00C9202B" w:rsidRDefault="00C9202B" w:rsidP="00243532">
      <w:pPr>
        <w:tabs>
          <w:tab w:val="left" w:pos="-720"/>
        </w:tabs>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Bellevue, WA 98056</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proofErr w:type="gramStart"/>
      <w:r>
        <w:rPr>
          <w:rFonts w:ascii="Times New Roman" w:hAnsi="Times New Roman"/>
          <w:b/>
        </w:rPr>
        <w:t>:</w:t>
      </w:r>
      <w:r w:rsidR="00757FA5" w:rsidRPr="00757FA5">
        <w:rPr>
          <w:rFonts w:ascii="Times New Roman" w:hAnsi="Times New Roman"/>
        </w:rPr>
        <w:t>425</w:t>
      </w:r>
      <w:proofErr w:type="gramEnd"/>
      <w:r w:rsidR="00757FA5" w:rsidRPr="00757FA5">
        <w:rPr>
          <w:rFonts w:ascii="Times New Roman" w:hAnsi="Times New Roman"/>
        </w:rPr>
        <w:t>-452-2732</w:t>
      </w:r>
    </w:p>
    <w:p w:rsidR="00D96B31" w:rsidRPr="00757FA5"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757FA5">
        <w:rPr>
          <w:rFonts w:ascii="Times New Roman" w:hAnsi="Times New Roman"/>
        </w:rPr>
        <w:tab/>
      </w:r>
      <w:r w:rsidR="00757FA5">
        <w:rPr>
          <w:rFonts w:ascii="Times New Roman" w:hAnsi="Times New Roman"/>
        </w:rPr>
        <w:tab/>
        <w:t>206-915-5835</w:t>
      </w:r>
    </w:p>
    <w:p w:rsidR="00B7203D" w:rsidRPr="00757FA5" w:rsidRDefault="00D96B31"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757FA5">
        <w:rPr>
          <w:rFonts w:ascii="Times New Roman" w:hAnsi="Times New Roman"/>
        </w:rPr>
        <w:t>lkranz@bellevuewa.gov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757FA5"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Pr>
          <w:rFonts w:ascii="Times New Roman" w:hAnsi="Times New Roman"/>
        </w:rPr>
        <w:t xml:space="preserve"> </w:t>
      </w:r>
      <w:r w:rsidRPr="00757FA5">
        <w:rPr>
          <w:rFonts w:ascii="Times New Roman" w:hAnsi="Times New Roman"/>
          <w:b/>
        </w:rPr>
        <w:t>20</w:t>
      </w:r>
      <w:r w:rsidR="00B807BC">
        <w:rPr>
          <w:rFonts w:ascii="Times New Roman" w:hAnsi="Times New Roman"/>
          <w:b/>
        </w:rPr>
        <w:t>15</w:t>
      </w:r>
      <w:r w:rsidRPr="00757FA5">
        <w:rPr>
          <w:rFonts w:ascii="Times New Roman" w:hAnsi="Times New Roman"/>
          <w:b/>
        </w:rPr>
        <w:t xml:space="preserve"> IBC</w:t>
      </w:r>
      <w:r>
        <w:rPr>
          <w:rFonts w:ascii="Times New Roman" w:hAnsi="Times New Roman"/>
        </w:rPr>
        <w:tab/>
      </w:r>
      <w:r>
        <w:rPr>
          <w:rFonts w:ascii="Times New Roman" w:hAnsi="Times New Roman"/>
        </w:rPr>
        <w:tab/>
      </w:r>
      <w:r w:rsidR="00514761">
        <w:rPr>
          <w:rFonts w:ascii="Times New Roman" w:hAnsi="Times New Roman"/>
        </w:rPr>
        <w:t xml:space="preserve">    </w:t>
      </w:r>
      <w:r w:rsidR="00BB1D76">
        <w:rPr>
          <w:rFonts w:ascii="Times New Roman" w:hAnsi="Times New Roman"/>
        </w:rPr>
        <w:t xml:space="preserve">   </w:t>
      </w:r>
      <w:r w:rsidR="00BB1D76">
        <w:rPr>
          <w:rFonts w:ascii="Times New Roman" w:hAnsi="Times New Roman"/>
          <w:b/>
        </w:rPr>
        <w:t>Section</w:t>
      </w:r>
      <w:r w:rsidR="00B807BC">
        <w:rPr>
          <w:rFonts w:ascii="Times New Roman" w:hAnsi="Times New Roman"/>
        </w:rPr>
        <w:t xml:space="preserve"> </w:t>
      </w:r>
      <w:r w:rsidR="00B807BC" w:rsidRPr="00B807BC">
        <w:rPr>
          <w:b/>
        </w:rPr>
        <w:t>1006.2.2.6 (New)</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57FA5" w:rsidRDefault="00757FA5" w:rsidP="00B807BC">
      <w:pPr>
        <w:tabs>
          <w:tab w:val="left" w:pos="-720"/>
        </w:tabs>
        <w:rPr>
          <w:rFonts w:ascii="Times New Roman" w:hAnsi="Times New Roman"/>
        </w:rPr>
      </w:pPr>
      <w:r>
        <w:rPr>
          <w:rFonts w:ascii="Times New Roman" w:hAnsi="Times New Roman"/>
        </w:rPr>
        <w:tab/>
      </w:r>
    </w:p>
    <w:p w:rsidR="00B807BC" w:rsidRDefault="00757FA5" w:rsidP="00B807BC">
      <w:r>
        <w:rPr>
          <w:rFonts w:ascii="Times New Roman" w:hAnsi="Times New Roman"/>
        </w:rPr>
        <w:tab/>
      </w:r>
      <w:r w:rsidR="00B807BC">
        <w:t>Add new text as follows:</w:t>
      </w:r>
    </w:p>
    <w:p w:rsidR="00D579A9" w:rsidRDefault="00D579A9" w:rsidP="00B807BC">
      <w:pPr>
        <w:rPr>
          <w:b/>
        </w:rPr>
      </w:pPr>
    </w:p>
    <w:p w:rsidR="00B807BC" w:rsidRPr="00BF3676" w:rsidRDefault="00B807BC" w:rsidP="00B807BC">
      <w:pPr>
        <w:rPr>
          <w:u w:val="single"/>
        </w:rPr>
      </w:pPr>
      <w:r w:rsidRPr="00BF3676">
        <w:rPr>
          <w:b/>
          <w:u w:val="single"/>
        </w:rPr>
        <w:t>1006.2.2.6 Electrical equipment rooms.</w:t>
      </w:r>
      <w:r w:rsidRPr="00BF3676">
        <w:rPr>
          <w:u w:val="single"/>
        </w:rPr>
        <w:t xml:space="preserve">  Rooms containing electrical equipment rated at 1,200 amperes or more where the equipment is over 6 feet (1829 mm) wide and containing overcurrent devices, switching devices or control devices shall be provided with the number of means of egress doorways in accordance with NEC Article 110.</w:t>
      </w:r>
    </w:p>
    <w:p w:rsidR="00757FA5" w:rsidRPr="00757FA5" w:rsidRDefault="00757FA5" w:rsidP="00FB746A">
      <w:pPr>
        <w:tabs>
          <w:tab w:val="left" w:pos="-720"/>
        </w:tabs>
        <w:rPr>
          <w:rFonts w:ascii="Times New Roman" w:hAnsi="Times New Roman"/>
          <w:u w:val="single"/>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807BC" w:rsidRPr="00D579A9" w:rsidRDefault="00B807BC" w:rsidP="00B807BC">
      <w:pPr>
        <w:shd w:val="clear" w:color="auto" w:fill="FFFFFF"/>
        <w:spacing w:before="100" w:beforeAutospacing="1" w:after="100" w:afterAutospacing="1"/>
        <w:rPr>
          <w:rFonts w:ascii="Times New Roman" w:hAnsi="Times New Roman"/>
          <w:color w:val="000000"/>
          <w:szCs w:val="24"/>
          <w:lang w:val="en-AU"/>
        </w:rPr>
      </w:pPr>
      <w:r w:rsidRPr="00D579A9">
        <w:rPr>
          <w:rFonts w:ascii="Times New Roman" w:hAnsi="Times New Roman"/>
          <w:b/>
          <w:color w:val="000000"/>
          <w:szCs w:val="24"/>
          <w:lang w:val="en-AU"/>
        </w:rPr>
        <w:t>Reason:</w:t>
      </w:r>
      <w:r w:rsidRPr="00D579A9">
        <w:rPr>
          <w:rFonts w:ascii="Times New Roman" w:hAnsi="Times New Roman"/>
          <w:color w:val="000000"/>
          <w:szCs w:val="24"/>
          <w:lang w:val="en-AU"/>
        </w:rPr>
        <w:t xml:space="preserve">  This code change is needed to create consistency with the NEC.  NEC Article 110.26 (C) (2) requires a 2nd exit when large electrical equipment (over 6 feet wide) exceeding 1,200 amperes are located in a room that contains overcurrent devices, switching devices or control devices.  Most building code reviewers are not aware of the need for the 2nd exit in the NEC and the requirement is often not identified until after construction begins when it is costly to modify the architectural design.  Rather than requiring a second exit or exit access doorway, the proposal specifies that the number of means of egress shall be in accordance with NEC Article 110.  This approach was taken due to several exceptions contained in Article 110 exempting the second exit doorway and which would not be appropriate to duplicate in the IBC.  </w:t>
      </w:r>
    </w:p>
    <w:p w:rsidR="007B15AE" w:rsidRPr="00D579A9" w:rsidRDefault="00B807BC" w:rsidP="00B807BC">
      <w:pPr>
        <w:shd w:val="clear" w:color="auto" w:fill="FFFFFF"/>
        <w:spacing w:before="100" w:beforeAutospacing="1" w:after="100" w:afterAutospacing="1"/>
        <w:rPr>
          <w:rFonts w:ascii="Times New Roman" w:hAnsi="Times New Roman"/>
          <w:color w:val="000000"/>
          <w:szCs w:val="24"/>
          <w:lang w:val="en-AU"/>
        </w:rPr>
      </w:pPr>
      <w:r w:rsidRPr="00D579A9">
        <w:rPr>
          <w:rFonts w:ascii="Times New Roman" w:hAnsi="Times New Roman"/>
          <w:color w:val="000000"/>
          <w:szCs w:val="24"/>
          <w:lang w:val="en-AU"/>
        </w:rPr>
        <w:t xml:space="preserve">Similar provisions are located in Section 1010.1.10 to require panic hardware or fire exit hardware for electrical rooms with large electrical equipment.  </w:t>
      </w:r>
    </w:p>
    <w:p w:rsidR="00C908F6" w:rsidRDefault="00C908F6"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C908F6"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3511C8">
        <w:rPr>
          <w:rFonts w:ascii="Times New Roman" w:hAnsi="Times New Roman"/>
          <w:sz w:val="24"/>
          <w:szCs w:val="24"/>
        </w:rPr>
      </w:r>
      <w:r w:rsidR="003511C8">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83494E"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3511C8">
        <w:rPr>
          <w:rFonts w:ascii="Times New Roman" w:hAnsi="Times New Roman"/>
          <w:sz w:val="24"/>
          <w:szCs w:val="24"/>
        </w:rPr>
      </w:r>
      <w:r w:rsidR="003511C8">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3511C8">
        <w:rPr>
          <w:rFonts w:ascii="Times New Roman" w:hAnsi="Times New Roman"/>
          <w:sz w:val="24"/>
          <w:szCs w:val="24"/>
        </w:rPr>
      </w:r>
      <w:r w:rsidR="003511C8">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3511C8">
        <w:rPr>
          <w:rFonts w:ascii="Times New Roman" w:hAnsi="Times New Roman"/>
          <w:sz w:val="24"/>
          <w:szCs w:val="24"/>
        </w:rPr>
      </w:r>
      <w:r w:rsidR="003511C8">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C908F6"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Default="00627A01"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Pr="00552BDC" w:rsidRDefault="0083494E" w:rsidP="00BF3676">
      <w:pPr>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A0D32">
        <w:rPr>
          <w:rFonts w:ascii="Times New Roman" w:hAnsi="Times New Roman"/>
          <w:szCs w:val="24"/>
        </w:rPr>
        <w:fldChar w:fldCharType="begin">
          <w:ffData>
            <w:name w:val=""/>
            <w:enabled/>
            <w:calcOnExit w:val="0"/>
            <w:checkBox>
              <w:sizeAuto/>
              <w:default w:val="0"/>
            </w:checkBox>
          </w:ffData>
        </w:fldChar>
      </w:r>
      <w:r w:rsidR="008A0D32">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A0D32">
        <w:rPr>
          <w:rFonts w:ascii="Times New Roman" w:hAnsi="Times New Roman"/>
          <w:szCs w:val="24"/>
        </w:rPr>
        <w:fldChar w:fldCharType="begin">
          <w:ffData>
            <w:name w:val=""/>
            <w:enabled/>
            <w:calcOnExit w:val="0"/>
            <w:checkBox>
              <w:sizeAuto/>
              <w:default w:val="1"/>
            </w:checkBox>
          </w:ffData>
        </w:fldChar>
      </w:r>
      <w:r w:rsidR="008A0D32">
        <w:rPr>
          <w:rFonts w:ascii="Times New Roman" w:hAnsi="Times New Roman"/>
          <w:szCs w:val="24"/>
        </w:rPr>
        <w:instrText xml:space="preserve"> FORMCHECKBOX </w:instrText>
      </w:r>
      <w:r w:rsidR="003511C8">
        <w:rPr>
          <w:rFonts w:ascii="Times New Roman" w:hAnsi="Times New Roman"/>
          <w:szCs w:val="24"/>
        </w:rPr>
      </w:r>
      <w:r w:rsidR="003511C8">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B807BC" w:rsidRPr="00B807BC" w:rsidRDefault="00873296" w:rsidP="00B807BC">
      <w:pPr>
        <w:ind w:left="720"/>
        <w:rPr>
          <w:rFonts w:ascii="Times New Roman" w:hAnsi="Times New Roman"/>
          <w:szCs w:val="24"/>
        </w:rPr>
      </w:pPr>
      <w:r w:rsidRPr="0087578E">
        <w:rPr>
          <w:rFonts w:ascii="Times New Roman" w:hAnsi="Times New Roman"/>
          <w:szCs w:val="24"/>
        </w:rPr>
        <w:t xml:space="preserve">Explain: </w:t>
      </w:r>
      <w:r w:rsidR="00B807BC" w:rsidRPr="00B807BC">
        <w:rPr>
          <w:rFonts w:ascii="Times New Roman" w:hAnsi="Times New Roman"/>
          <w:szCs w:val="24"/>
        </w:rPr>
        <w:t>Will not increase the cost of construction</w:t>
      </w:r>
      <w:r w:rsidR="00D579A9">
        <w:rPr>
          <w:rFonts w:ascii="Times New Roman" w:hAnsi="Times New Roman"/>
          <w:szCs w:val="24"/>
        </w:rPr>
        <w:t xml:space="preserve">.  It provides a reference to the appropriate section of the National Electrical Code so that means of egress design may proceed more efficiently.   </w:t>
      </w:r>
      <w:r w:rsidR="00B807BC" w:rsidRPr="00B807BC">
        <w:rPr>
          <w:rFonts w:ascii="Times New Roman" w:hAnsi="Times New Roman"/>
          <w:szCs w:val="24"/>
        </w:rPr>
        <w:t>This code change will save money by reducing costly change orders when the NEC requirement</w:t>
      </w:r>
    </w:p>
    <w:p w:rsidR="00873296" w:rsidRPr="0087578E" w:rsidRDefault="00D579A9" w:rsidP="00B807BC">
      <w:pPr>
        <w:ind w:left="720"/>
        <w:rPr>
          <w:rFonts w:ascii="Times New Roman" w:hAnsi="Times New Roman"/>
          <w:szCs w:val="24"/>
        </w:rPr>
      </w:pPr>
      <w:proofErr w:type="gramStart"/>
      <w:r>
        <w:rPr>
          <w:rFonts w:ascii="Times New Roman" w:hAnsi="Times New Roman"/>
          <w:szCs w:val="24"/>
        </w:rPr>
        <w:t>for</w:t>
      </w:r>
      <w:proofErr w:type="gramEnd"/>
      <w:r>
        <w:rPr>
          <w:rFonts w:ascii="Times New Roman" w:hAnsi="Times New Roman"/>
          <w:szCs w:val="24"/>
        </w:rPr>
        <w:t xml:space="preserve"> </w:t>
      </w:r>
      <w:r w:rsidR="00B807BC" w:rsidRPr="00B807BC">
        <w:rPr>
          <w:rFonts w:ascii="Times New Roman" w:hAnsi="Times New Roman"/>
          <w:szCs w:val="24"/>
        </w:rPr>
        <w:t>a 2nd exit is not caught during plan review.</w:t>
      </w:r>
    </w:p>
    <w:p w:rsidR="00873296" w:rsidRDefault="00873296" w:rsidP="00E16D5E">
      <w:pPr>
        <w:ind w:left="720"/>
        <w:rPr>
          <w:rFonts w:ascii="Times New Roman" w:hAnsi="Times New Roman"/>
          <w:szCs w:val="24"/>
        </w:rPr>
      </w:pPr>
    </w:p>
    <w:p w:rsidR="00D579A9" w:rsidRPr="0087578E" w:rsidRDefault="00D579A9"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440"/>
        <w:gridCol w:w="1350"/>
        <w:gridCol w:w="1440"/>
        <w:gridCol w:w="1530"/>
        <w:gridCol w:w="1530"/>
        <w:gridCol w:w="1710"/>
      </w:tblGrid>
      <w:tr w:rsidR="00E720B3" w:rsidRPr="0033146D" w:rsidTr="008A0D32">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9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97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8A0D32">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83494E" w:rsidP="009B75F2">
            <w:pPr>
              <w:tabs>
                <w:tab w:val="left" w:pos="4320"/>
              </w:tabs>
              <w:ind w:right="-1440"/>
              <w:rPr>
                <w:rFonts w:ascii="Times New Roman" w:hAnsi="Times New Roman"/>
                <w:szCs w:val="24"/>
                <w:vertAlign w:val="superscript"/>
              </w:rPr>
            </w:pPr>
            <w:r>
              <w:rPr>
                <w:rFonts w:ascii="Times New Roman" w:hAnsi="Times New Roman"/>
                <w:szCs w:val="24"/>
              </w:rPr>
              <w:t>Cost/DU</w:t>
            </w:r>
          </w:p>
        </w:tc>
        <w:tc>
          <w:tcPr>
            <w:tcW w:w="144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440" w:type="dxa"/>
          </w:tcPr>
          <w:p w:rsidR="002E7439" w:rsidRPr="0087578E" w:rsidRDefault="008A0D32" w:rsidP="006223A8">
            <w:pPr>
              <w:tabs>
                <w:tab w:val="left" w:pos="4320"/>
              </w:tabs>
              <w:ind w:right="-1440"/>
              <w:rPr>
                <w:rFonts w:ascii="Times New Roman" w:hAnsi="Times New Roman"/>
                <w:szCs w:val="24"/>
              </w:rPr>
            </w:pPr>
            <w:r w:rsidRPr="008A0D32">
              <w:rPr>
                <w:rFonts w:ascii="Times New Roman" w:hAnsi="Times New Roman"/>
                <w:szCs w:val="24"/>
              </w:rPr>
              <w:t>No difference</w:t>
            </w:r>
          </w:p>
        </w:tc>
        <w:tc>
          <w:tcPr>
            <w:tcW w:w="1350" w:type="dxa"/>
          </w:tcPr>
          <w:p w:rsidR="002E7439" w:rsidRPr="0087578E" w:rsidRDefault="008A0D32" w:rsidP="006223A8">
            <w:pPr>
              <w:tabs>
                <w:tab w:val="left" w:pos="4320"/>
              </w:tabs>
              <w:ind w:right="-1440"/>
              <w:rPr>
                <w:rFonts w:ascii="Times New Roman" w:hAnsi="Times New Roman"/>
                <w:szCs w:val="24"/>
              </w:rPr>
            </w:pPr>
            <w:r w:rsidRPr="008A0D32">
              <w:rPr>
                <w:rFonts w:ascii="Times New Roman" w:hAnsi="Times New Roman"/>
                <w:szCs w:val="24"/>
              </w:rPr>
              <w:t>No difference</w:t>
            </w:r>
          </w:p>
        </w:tc>
        <w:tc>
          <w:tcPr>
            <w:tcW w:w="1440" w:type="dxa"/>
          </w:tcPr>
          <w:p w:rsidR="002E7439" w:rsidRPr="0087578E" w:rsidRDefault="00C908F6" w:rsidP="00C908F6">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C908F6" w:rsidP="006223A8">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71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440" w:type="dxa"/>
          </w:tcPr>
          <w:p w:rsidR="002E7439" w:rsidRPr="0087578E" w:rsidRDefault="008A0D32" w:rsidP="006223A8">
            <w:pPr>
              <w:tabs>
                <w:tab w:val="left" w:pos="4320"/>
              </w:tabs>
              <w:ind w:right="-1440"/>
              <w:rPr>
                <w:rFonts w:ascii="Times New Roman" w:hAnsi="Times New Roman"/>
                <w:szCs w:val="24"/>
              </w:rPr>
            </w:pPr>
            <w:r>
              <w:rPr>
                <w:rFonts w:ascii="Times New Roman" w:hAnsi="Times New Roman"/>
                <w:szCs w:val="24"/>
              </w:rPr>
              <w:t>No difference</w:t>
            </w:r>
          </w:p>
        </w:tc>
        <w:tc>
          <w:tcPr>
            <w:tcW w:w="1350" w:type="dxa"/>
          </w:tcPr>
          <w:p w:rsidR="002E7439" w:rsidRPr="0087578E" w:rsidRDefault="008A0D32" w:rsidP="006223A8">
            <w:pPr>
              <w:tabs>
                <w:tab w:val="left" w:pos="4320"/>
              </w:tabs>
              <w:ind w:right="-1440"/>
              <w:rPr>
                <w:rFonts w:ascii="Times New Roman" w:hAnsi="Times New Roman"/>
                <w:szCs w:val="24"/>
              </w:rPr>
            </w:pPr>
            <w:r w:rsidRPr="008A0D32">
              <w:rPr>
                <w:rFonts w:ascii="Times New Roman" w:hAnsi="Times New Roman"/>
                <w:szCs w:val="24"/>
              </w:rPr>
              <w:t>No difference</w:t>
            </w:r>
          </w:p>
        </w:tc>
        <w:tc>
          <w:tcPr>
            <w:tcW w:w="144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53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c>
          <w:tcPr>
            <w:tcW w:w="1710" w:type="dxa"/>
          </w:tcPr>
          <w:p w:rsidR="002E7439" w:rsidRPr="0087578E" w:rsidRDefault="0083494E" w:rsidP="006223A8">
            <w:pPr>
              <w:tabs>
                <w:tab w:val="left" w:pos="4320"/>
              </w:tabs>
              <w:ind w:right="-1440"/>
              <w:rPr>
                <w:rFonts w:ascii="Times New Roman" w:hAnsi="Times New Roman"/>
                <w:szCs w:val="24"/>
              </w:rPr>
            </w:pPr>
            <w:r>
              <w:rPr>
                <w:rFonts w:ascii="Times New Roman" w:hAnsi="Times New Roman"/>
                <w:szCs w:val="24"/>
              </w:rPr>
              <w:t>No difference</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50" w:rsidRDefault="00A91B50" w:rsidP="00110F55">
      <w:r>
        <w:separator/>
      </w:r>
    </w:p>
  </w:endnote>
  <w:endnote w:type="continuationSeparator" w:id="0">
    <w:p w:rsidR="00A91B50" w:rsidRDefault="00A91B5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3511C8">
      <w:rPr>
        <w:noProof/>
        <w:sz w:val="18"/>
        <w:szCs w:val="18"/>
      </w:rPr>
      <w:t>February 25,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3511C8">
      <w:rPr>
        <w:noProof/>
        <w:sz w:val="18"/>
        <w:szCs w:val="18"/>
      </w:rPr>
      <w:t>February 25,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50" w:rsidRDefault="00A91B50" w:rsidP="00110F55">
      <w:r>
        <w:separator/>
      </w:r>
    </w:p>
  </w:footnote>
  <w:footnote w:type="continuationSeparator" w:id="0">
    <w:p w:rsidR="00A91B50" w:rsidRDefault="00A91B5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511C8"/>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311ED"/>
    <w:rsid w:val="004A172E"/>
    <w:rsid w:val="004A786B"/>
    <w:rsid w:val="004B0207"/>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C5B4D"/>
    <w:rsid w:val="006D0826"/>
    <w:rsid w:val="006D08D9"/>
    <w:rsid w:val="007100B9"/>
    <w:rsid w:val="0071704D"/>
    <w:rsid w:val="0072082E"/>
    <w:rsid w:val="0072394F"/>
    <w:rsid w:val="007464D5"/>
    <w:rsid w:val="007528A9"/>
    <w:rsid w:val="00754ECC"/>
    <w:rsid w:val="00757FA5"/>
    <w:rsid w:val="00771BC9"/>
    <w:rsid w:val="007839BB"/>
    <w:rsid w:val="00790A22"/>
    <w:rsid w:val="007A5DC3"/>
    <w:rsid w:val="007B15AE"/>
    <w:rsid w:val="007C1CE4"/>
    <w:rsid w:val="007C7179"/>
    <w:rsid w:val="007D72F3"/>
    <w:rsid w:val="007F5B2F"/>
    <w:rsid w:val="007F67BF"/>
    <w:rsid w:val="007F7C52"/>
    <w:rsid w:val="0082063B"/>
    <w:rsid w:val="008232EC"/>
    <w:rsid w:val="00824E7A"/>
    <w:rsid w:val="00833E6E"/>
    <w:rsid w:val="0083494E"/>
    <w:rsid w:val="00860844"/>
    <w:rsid w:val="008650E6"/>
    <w:rsid w:val="00867EED"/>
    <w:rsid w:val="00872C59"/>
    <w:rsid w:val="00873296"/>
    <w:rsid w:val="0087578E"/>
    <w:rsid w:val="008806BC"/>
    <w:rsid w:val="00885746"/>
    <w:rsid w:val="008A0D32"/>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A00FF"/>
    <w:rsid w:val="00AB3F11"/>
    <w:rsid w:val="00AB555C"/>
    <w:rsid w:val="00AD4800"/>
    <w:rsid w:val="00B002D8"/>
    <w:rsid w:val="00B7203D"/>
    <w:rsid w:val="00B75D4C"/>
    <w:rsid w:val="00B807BC"/>
    <w:rsid w:val="00B928C3"/>
    <w:rsid w:val="00BA1D4E"/>
    <w:rsid w:val="00BA22EC"/>
    <w:rsid w:val="00BB1D76"/>
    <w:rsid w:val="00BE1D37"/>
    <w:rsid w:val="00BE1E8B"/>
    <w:rsid w:val="00BF3676"/>
    <w:rsid w:val="00C40E7E"/>
    <w:rsid w:val="00C43DE9"/>
    <w:rsid w:val="00C7097D"/>
    <w:rsid w:val="00C74967"/>
    <w:rsid w:val="00C80605"/>
    <w:rsid w:val="00C908F6"/>
    <w:rsid w:val="00C9202B"/>
    <w:rsid w:val="00CC0D13"/>
    <w:rsid w:val="00CC1473"/>
    <w:rsid w:val="00CC1844"/>
    <w:rsid w:val="00CC3D5F"/>
    <w:rsid w:val="00CC65F9"/>
    <w:rsid w:val="00CE5E29"/>
    <w:rsid w:val="00D00EEE"/>
    <w:rsid w:val="00D17C4C"/>
    <w:rsid w:val="00D255F0"/>
    <w:rsid w:val="00D47700"/>
    <w:rsid w:val="00D579A9"/>
    <w:rsid w:val="00D65EA7"/>
    <w:rsid w:val="00D807B3"/>
    <w:rsid w:val="00D96B31"/>
    <w:rsid w:val="00D96E40"/>
    <w:rsid w:val="00DB4198"/>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2136440225">
      <w:bodyDiv w:val="1"/>
      <w:marLeft w:val="0"/>
      <w:marRight w:val="0"/>
      <w:marTop w:val="0"/>
      <w:marBottom w:val="0"/>
      <w:divBdr>
        <w:top w:val="none" w:sz="0" w:space="0" w:color="auto"/>
        <w:left w:val="none" w:sz="0" w:space="0" w:color="auto"/>
        <w:bottom w:val="none" w:sz="0" w:space="0" w:color="auto"/>
        <w:right w:val="none" w:sz="0" w:space="0" w:color="auto"/>
      </w:divBdr>
      <w:divsChild>
        <w:div w:id="646208945">
          <w:marLeft w:val="0"/>
          <w:marRight w:val="0"/>
          <w:marTop w:val="0"/>
          <w:marBottom w:val="0"/>
          <w:divBdr>
            <w:top w:val="none" w:sz="0" w:space="0" w:color="auto"/>
            <w:left w:val="none" w:sz="0" w:space="0" w:color="auto"/>
            <w:bottom w:val="none" w:sz="0" w:space="0" w:color="auto"/>
            <w:right w:val="none" w:sz="0" w:space="0" w:color="auto"/>
          </w:divBdr>
          <w:divsChild>
            <w:div w:id="151795968">
              <w:marLeft w:val="0"/>
              <w:marRight w:val="0"/>
              <w:marTop w:val="0"/>
              <w:marBottom w:val="150"/>
              <w:divBdr>
                <w:top w:val="none" w:sz="0" w:space="0" w:color="auto"/>
                <w:left w:val="none" w:sz="0" w:space="0" w:color="auto"/>
                <w:bottom w:val="none" w:sz="0" w:space="0" w:color="auto"/>
                <w:right w:val="none" w:sz="0" w:space="0" w:color="auto"/>
              </w:divBdr>
            </w:div>
            <w:div w:id="110010360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C7B3-15E4-487C-AFED-3AD2EA7C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Kranz, Lee</dc:creator>
  <cp:lastModifiedBy>Bryden, Peggy (DES)</cp:lastModifiedBy>
  <cp:revision>2</cp:revision>
  <cp:lastPrinted>2015-02-11T18:18:00Z</cp:lastPrinted>
  <dcterms:created xsi:type="dcterms:W3CDTF">2015-02-26T01:57:00Z</dcterms:created>
  <dcterms:modified xsi:type="dcterms:W3CDTF">2015-02-26T01:57:00Z</dcterms:modified>
</cp:coreProperties>
</file>